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opLinePunct/>
        <w:spacing w:before="0" w:beforeAutospacing="0" w:after="0" w:afterAutospacing="0"/>
        <w:jc w:val="center"/>
        <w:rPr>
          <w:rFonts w:ascii="宋体" w:hAnsi="宋体"/>
          <w:bCs w:val="0"/>
          <w:sz w:val="32"/>
          <w:szCs w:val="32"/>
        </w:rPr>
      </w:pPr>
      <w:r>
        <w:rPr>
          <w:rFonts w:hint="eastAsia" w:ascii="宋体" w:hAnsi="宋体"/>
          <w:bCs w:val="0"/>
          <w:sz w:val="32"/>
          <w:szCs w:val="32"/>
        </w:rPr>
        <w:t>江苏省中等职业学校</w:t>
      </w:r>
      <w:r>
        <w:rPr>
          <w:rFonts w:hint="eastAsia" w:ascii="宋体" w:hAnsi="宋体"/>
          <w:bCs w:val="0"/>
          <w:sz w:val="32"/>
          <w:szCs w:val="32"/>
          <w:lang w:val="en-US" w:eastAsia="zh-CN"/>
        </w:rPr>
        <w:t>数控技术</w:t>
      </w:r>
      <w:r>
        <w:rPr>
          <w:rFonts w:hint="eastAsia" w:ascii="宋体" w:hAnsi="宋体"/>
          <w:bCs w:val="0"/>
          <w:sz w:val="32"/>
          <w:szCs w:val="32"/>
        </w:rPr>
        <w:t>专业</w:t>
      </w:r>
    </w:p>
    <w:p>
      <w:pPr>
        <w:pStyle w:val="2"/>
        <w:topLinePunct/>
        <w:spacing w:before="0" w:beforeAutospacing="0" w:after="0" w:afterAutospacing="0"/>
        <w:jc w:val="center"/>
        <w:rPr>
          <w:rFonts w:ascii="宋体" w:hAnsi="宋体"/>
          <w:bCs w:val="0"/>
          <w:sz w:val="32"/>
          <w:szCs w:val="32"/>
        </w:rPr>
      </w:pPr>
      <w:r>
        <w:rPr>
          <w:rFonts w:hint="eastAsia" w:ascii="宋体" w:hAnsi="宋体"/>
          <w:bCs w:val="0"/>
          <w:sz w:val="32"/>
          <w:szCs w:val="32"/>
        </w:rPr>
        <w:t>《电工电子技术基础与技能》课程标准（试行）</w:t>
      </w:r>
    </w:p>
    <w:p>
      <w:pPr>
        <w:jc w:val="center"/>
        <w:rPr>
          <w:lang w:val="zh-CN"/>
        </w:rPr>
      </w:pP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一、</w:t>
      </w:r>
      <w:r>
        <w:rPr>
          <w:rFonts w:ascii="宋体" w:hAnsi="宋体" w:cs="宋体"/>
          <w:b/>
          <w:kern w:val="0"/>
          <w:sz w:val="28"/>
          <w:szCs w:val="28"/>
        </w:rPr>
        <w:t>课程性质</w:t>
      </w:r>
      <w:bookmarkStart w:id="0" w:name="_GoBack"/>
      <w:bookmarkEnd w:id="0"/>
    </w:p>
    <w:p>
      <w:pPr>
        <w:topLinePunct/>
        <w:ind w:firstLine="480" w:firstLineChars="200"/>
        <w:jc w:val="left"/>
        <w:rPr>
          <w:rFonts w:ascii="宋体" w:hAnsi="宋体"/>
          <w:sz w:val="24"/>
        </w:rPr>
      </w:pPr>
      <w:r>
        <w:rPr>
          <w:rFonts w:hint="eastAsia" w:ascii="宋体" w:hAnsi="宋体"/>
          <w:sz w:val="24"/>
        </w:rPr>
        <w:t>本课程是江苏省中等职业学校机电类专业必修的一门理论与实践相结合的专业</w:t>
      </w:r>
      <w:r>
        <w:rPr>
          <w:rFonts w:ascii="宋体" w:hAnsi="宋体"/>
          <w:sz w:val="24"/>
        </w:rPr>
        <w:t>类</w:t>
      </w:r>
      <w:r>
        <w:rPr>
          <w:rFonts w:hint="eastAsia" w:ascii="宋体" w:hAnsi="宋体"/>
          <w:sz w:val="24"/>
        </w:rPr>
        <w:t>平台课程,其任务是让</w:t>
      </w:r>
      <w:r>
        <w:rPr>
          <w:rFonts w:hint="eastAsia" w:ascii="宋体" w:hAnsi="宋体" w:cs="Arial"/>
          <w:bCs/>
          <w:kern w:val="0"/>
          <w:sz w:val="24"/>
        </w:rPr>
        <w:t>机电类各专业</w:t>
      </w:r>
      <w:r>
        <w:rPr>
          <w:rFonts w:hint="eastAsia" w:ascii="宋体" w:hAnsi="宋体"/>
          <w:sz w:val="24"/>
        </w:rPr>
        <w:t>学生掌握必要的电工电子基础知识及实践操作技能，为培养其行业通用能力提供课程支撑，同</w:t>
      </w:r>
      <w:r>
        <w:rPr>
          <w:rFonts w:ascii="宋体" w:hAnsi="宋体"/>
          <w:sz w:val="24"/>
        </w:rPr>
        <w:t>时也</w:t>
      </w:r>
      <w:r>
        <w:rPr>
          <w:rFonts w:hint="eastAsia" w:ascii="宋体" w:hAnsi="宋体"/>
          <w:sz w:val="24"/>
        </w:rPr>
        <w:t>为《电气</w:t>
      </w:r>
      <w:r>
        <w:rPr>
          <w:rFonts w:ascii="宋体" w:hAnsi="宋体"/>
          <w:sz w:val="24"/>
        </w:rPr>
        <w:t>系统安装与调试</w:t>
      </w:r>
      <w:r>
        <w:rPr>
          <w:rFonts w:hint="eastAsia" w:ascii="宋体" w:hAnsi="宋体"/>
          <w:sz w:val="24"/>
        </w:rPr>
        <w:t>》等后续课程的学习奠定基础。</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二</w:t>
      </w:r>
      <w:r>
        <w:rPr>
          <w:rFonts w:ascii="宋体" w:hAnsi="宋体" w:cs="宋体"/>
          <w:b/>
          <w:kern w:val="0"/>
          <w:sz w:val="28"/>
          <w:szCs w:val="28"/>
        </w:rPr>
        <w:t>、</w:t>
      </w:r>
      <w:r>
        <w:rPr>
          <w:rFonts w:hint="eastAsia" w:ascii="宋体" w:hAnsi="宋体" w:cs="宋体"/>
          <w:b/>
          <w:kern w:val="0"/>
          <w:sz w:val="28"/>
          <w:szCs w:val="28"/>
        </w:rPr>
        <w:t>学时与学分</w:t>
      </w:r>
    </w:p>
    <w:p>
      <w:pPr>
        <w:topLinePunct/>
        <w:ind w:firstLine="480" w:firstLineChars="200"/>
        <w:jc w:val="left"/>
        <w:rPr>
          <w:rFonts w:ascii="宋体" w:hAnsi="宋体"/>
          <w:sz w:val="24"/>
        </w:rPr>
      </w:pPr>
      <w:r>
        <w:rPr>
          <w:rFonts w:ascii="宋体" w:hAnsi="宋体"/>
          <w:sz w:val="24"/>
        </w:rPr>
        <w:t>108</w:t>
      </w:r>
      <w:r>
        <w:rPr>
          <w:rFonts w:hint="eastAsia" w:ascii="宋体" w:hAnsi="宋体"/>
          <w:sz w:val="24"/>
        </w:rPr>
        <w:t>学时，</w:t>
      </w:r>
      <w:r>
        <w:rPr>
          <w:rFonts w:ascii="宋体" w:hAnsi="宋体"/>
          <w:sz w:val="24"/>
        </w:rPr>
        <w:t>6</w:t>
      </w:r>
      <w:r>
        <w:rPr>
          <w:rFonts w:hint="eastAsia" w:ascii="宋体" w:hAnsi="宋体"/>
          <w:sz w:val="24"/>
        </w:rPr>
        <w:t>学分。</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三、课程设计思路</w:t>
      </w:r>
    </w:p>
    <w:p>
      <w:pPr>
        <w:topLinePunct/>
        <w:ind w:firstLine="480" w:firstLineChars="200"/>
        <w:jc w:val="left"/>
        <w:rPr>
          <w:rFonts w:ascii="宋体" w:hAnsi="宋体"/>
          <w:kern w:val="0"/>
          <w:sz w:val="24"/>
        </w:rPr>
      </w:pPr>
      <w:r>
        <w:rPr>
          <w:rFonts w:hint="eastAsia" w:ascii="宋体" w:hAnsi="宋体"/>
          <w:sz w:val="24"/>
        </w:rPr>
        <w:t>本</w:t>
      </w:r>
      <w:r>
        <w:rPr>
          <w:rFonts w:hint="eastAsia" w:ascii="宋体" w:hAnsi="宋体" w:cs="宋体"/>
          <w:color w:val="000000"/>
          <w:sz w:val="24"/>
        </w:rPr>
        <w:t>课程按照立德树人的要求，突出职业能力培养，兼顾中高职课程衔接</w:t>
      </w:r>
      <w:r>
        <w:rPr>
          <w:rFonts w:hint="eastAsia" w:ascii="宋体" w:hAnsi="宋体"/>
          <w:kern w:val="0"/>
          <w:sz w:val="24"/>
        </w:rPr>
        <w:t>，高度融合电工及电子</w:t>
      </w:r>
      <w:r>
        <w:rPr>
          <w:rFonts w:hint="eastAsia" w:ascii="宋体" w:hAnsi="宋体"/>
          <w:sz w:val="24"/>
        </w:rPr>
        <w:t>基础知识、基本技能的学习</w:t>
      </w:r>
      <w:r>
        <w:rPr>
          <w:rFonts w:hint="eastAsia" w:ascii="宋体" w:hAnsi="宋体"/>
          <w:kern w:val="0"/>
          <w:sz w:val="24"/>
        </w:rPr>
        <w:t>和职业精神的培养。</w:t>
      </w:r>
    </w:p>
    <w:p>
      <w:pPr>
        <w:topLinePunct/>
        <w:ind w:firstLine="480" w:firstLineChars="200"/>
        <w:jc w:val="left"/>
        <w:rPr>
          <w:rFonts w:ascii="宋体" w:hAnsi="宋体"/>
          <w:sz w:val="24"/>
        </w:rPr>
      </w:pPr>
      <w:r>
        <w:rPr>
          <w:rFonts w:hint="eastAsia" w:ascii="宋体" w:hAnsi="宋体"/>
          <w:sz w:val="24"/>
        </w:rPr>
        <w:t>1.依据机电专业类行业面向与职业面向，以及《江苏省中等职业学校机电专业类课程指导方案》中确定的人才培养定位、综合素质、行业通用能力，按照知识与技能、过程与方法、情感态度与价值观三个维度，突出电工电子技术等基本能力的培养，确定本课程目标。</w:t>
      </w:r>
    </w:p>
    <w:p>
      <w:pPr>
        <w:topLinePunct/>
        <w:autoSpaceDE w:val="0"/>
        <w:autoSpaceDN w:val="0"/>
        <w:adjustRightInd w:val="0"/>
        <w:ind w:firstLine="480" w:firstLineChars="200"/>
        <w:jc w:val="left"/>
        <w:rPr>
          <w:rFonts w:ascii="宋体" w:hAnsi="宋体" w:cs="宋体"/>
          <w:kern w:val="0"/>
          <w:sz w:val="24"/>
        </w:rPr>
      </w:pPr>
      <w:r>
        <w:rPr>
          <w:rFonts w:hint="eastAsia" w:ascii="宋体" w:hAnsi="宋体"/>
          <w:sz w:val="24"/>
        </w:rPr>
        <w:t>2.依据课程目标，以及电子、电工等岗位需求，对接国家职业标准（初级）、职业技能等级标准（初级）中涉及的电工电子技术的基础理论、基本技能，兼顾职业道德、职业基础知识，反映技术进步和生产实际，体现科学性、前沿性、适用性原则，确定本课程内容。</w:t>
      </w:r>
    </w:p>
    <w:p>
      <w:pPr>
        <w:topLinePunct/>
        <w:ind w:firstLine="480" w:firstLineChars="200"/>
        <w:jc w:val="left"/>
        <w:rPr>
          <w:rFonts w:ascii="宋体" w:hAnsi="宋体"/>
          <w:sz w:val="24"/>
        </w:rPr>
      </w:pPr>
      <w:r>
        <w:rPr>
          <w:rFonts w:hint="eastAsia" w:ascii="宋体" w:hAnsi="宋体"/>
          <w:sz w:val="24"/>
        </w:rPr>
        <w:t>3.以电工</w:t>
      </w:r>
      <w:r>
        <w:rPr>
          <w:rFonts w:ascii="宋体" w:hAnsi="宋体"/>
          <w:sz w:val="24"/>
        </w:rPr>
        <w:t>电子</w:t>
      </w:r>
      <w:r>
        <w:rPr>
          <w:rFonts w:hint="eastAsia" w:ascii="宋体" w:hAnsi="宋体"/>
          <w:sz w:val="24"/>
        </w:rPr>
        <w:t>基础知识和基本技能</w:t>
      </w:r>
      <w:r>
        <w:rPr>
          <w:rFonts w:ascii="宋体" w:hAnsi="宋体"/>
          <w:sz w:val="24"/>
        </w:rPr>
        <w:t>为主线，</w:t>
      </w:r>
      <w:r>
        <w:rPr>
          <w:rFonts w:hint="eastAsia" w:ascii="宋体" w:hAnsi="宋体"/>
          <w:sz w:val="24"/>
        </w:rPr>
        <w:t>以典型</w:t>
      </w:r>
      <w:r>
        <w:rPr>
          <w:rFonts w:ascii="宋体" w:hAnsi="宋体"/>
          <w:sz w:val="24"/>
        </w:rPr>
        <w:t>电路</w:t>
      </w:r>
      <w:r>
        <w:rPr>
          <w:rFonts w:hint="eastAsia" w:ascii="宋体" w:hAnsi="宋体"/>
          <w:sz w:val="24"/>
        </w:rPr>
        <w:t>为载体设计教学单元，根据学生认知规律，以电工电子</w:t>
      </w:r>
      <w:r>
        <w:rPr>
          <w:rFonts w:ascii="宋体" w:hAnsi="宋体"/>
          <w:sz w:val="24"/>
        </w:rPr>
        <w:t>电路的</w:t>
      </w:r>
      <w:r>
        <w:rPr>
          <w:rFonts w:hint="eastAsia" w:ascii="宋体" w:hAnsi="宋体"/>
          <w:sz w:val="24"/>
        </w:rPr>
        <w:t>基本分析方法为参考，序化教学内容。</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四、</w:t>
      </w:r>
      <w:r>
        <w:rPr>
          <w:rFonts w:ascii="宋体" w:hAnsi="宋体" w:cs="宋体"/>
          <w:b/>
          <w:kern w:val="0"/>
          <w:sz w:val="28"/>
          <w:szCs w:val="28"/>
        </w:rPr>
        <w:t>课程目标</w:t>
      </w:r>
    </w:p>
    <w:p>
      <w:pPr>
        <w:pStyle w:val="16"/>
        <w:topLinePunct/>
        <w:ind w:firstLine="480"/>
        <w:jc w:val="left"/>
        <w:rPr>
          <w:rFonts w:ascii="宋体" w:hAnsi="宋体"/>
          <w:sz w:val="24"/>
        </w:rPr>
      </w:pPr>
      <w:r>
        <w:rPr>
          <w:rFonts w:hint="eastAsia" w:ascii="宋体" w:hAnsi="宋体"/>
          <w:sz w:val="24"/>
        </w:rPr>
        <w:t>学生通过学习本课程，掌握电工电子技术的基础知识与操作技能，能解决电工电子电路的实际问题，具备对简单电路的分析及故障排除能力，形成良好的职业道德和职业</w:t>
      </w:r>
      <w:r>
        <w:rPr>
          <w:rFonts w:ascii="宋体" w:hAnsi="宋体"/>
          <w:sz w:val="24"/>
        </w:rPr>
        <w:t>习惯。</w:t>
      </w:r>
    </w:p>
    <w:p>
      <w:pPr>
        <w:widowControl/>
        <w:topLinePunct/>
        <w:ind w:firstLine="480" w:firstLineChars="200"/>
        <w:jc w:val="left"/>
        <w:rPr>
          <w:rFonts w:ascii="宋体" w:hAnsi="宋体"/>
          <w:sz w:val="24"/>
        </w:rPr>
      </w:pPr>
      <w:r>
        <w:rPr>
          <w:rFonts w:hint="eastAsia" w:ascii="宋体" w:hAnsi="宋体"/>
          <w:sz w:val="24"/>
        </w:rPr>
        <w:t>1.了解电工电子电路中常用物理量和基本定律，能查询常用电工电子元器件的主要参数。</w:t>
      </w:r>
    </w:p>
    <w:p>
      <w:pPr>
        <w:widowControl/>
        <w:topLinePunct/>
        <w:ind w:firstLine="480" w:firstLineChars="200"/>
        <w:jc w:val="left"/>
        <w:rPr>
          <w:rFonts w:ascii="宋体" w:hAnsi="宋体"/>
          <w:sz w:val="24"/>
        </w:rPr>
      </w:pPr>
      <w:r>
        <w:rPr>
          <w:rFonts w:hint="eastAsia" w:ascii="宋体" w:hAnsi="宋体"/>
          <w:sz w:val="24"/>
        </w:rPr>
        <w:t>2.了解简单电工电路和典型电子线路分析和计算方法，能说出</w:t>
      </w:r>
      <w:r>
        <w:rPr>
          <w:rFonts w:ascii="宋体" w:hAnsi="宋体"/>
          <w:sz w:val="24"/>
        </w:rPr>
        <w:t>典型电路的工作原理</w:t>
      </w:r>
      <w:r>
        <w:rPr>
          <w:rFonts w:hint="eastAsia" w:ascii="宋体" w:hAnsi="宋体"/>
          <w:sz w:val="24"/>
        </w:rPr>
        <w:t>。</w:t>
      </w:r>
    </w:p>
    <w:p>
      <w:pPr>
        <w:widowControl/>
        <w:topLinePunct/>
        <w:ind w:firstLine="480" w:firstLineChars="200"/>
        <w:jc w:val="left"/>
        <w:rPr>
          <w:rFonts w:ascii="宋体" w:hAnsi="宋体"/>
          <w:sz w:val="24"/>
        </w:rPr>
      </w:pPr>
      <w:r>
        <w:rPr>
          <w:rFonts w:hint="eastAsia" w:ascii="宋体" w:hAnsi="宋体"/>
          <w:sz w:val="24"/>
        </w:rPr>
        <w:t>3.掌握常用电工工具和电工电子仪表的操作规范，</w:t>
      </w:r>
      <w:r>
        <w:rPr>
          <w:rFonts w:ascii="宋体" w:hAnsi="宋体"/>
          <w:sz w:val="24"/>
        </w:rPr>
        <w:t>能按工艺规范安装</w:t>
      </w:r>
      <w:r>
        <w:rPr>
          <w:rFonts w:hint="eastAsia" w:ascii="宋体" w:hAnsi="宋体"/>
          <w:sz w:val="24"/>
        </w:rPr>
        <w:t>照明</w:t>
      </w:r>
      <w:r>
        <w:rPr>
          <w:rFonts w:ascii="宋体" w:hAnsi="宋体"/>
          <w:sz w:val="24"/>
        </w:rPr>
        <w:t>电路及典型电子产品</w:t>
      </w:r>
      <w:r>
        <w:rPr>
          <w:rFonts w:hint="eastAsia" w:ascii="宋体" w:hAnsi="宋体"/>
          <w:sz w:val="24"/>
        </w:rPr>
        <w:t>。</w:t>
      </w:r>
    </w:p>
    <w:p>
      <w:pPr>
        <w:widowControl/>
        <w:topLinePunct/>
        <w:ind w:firstLine="480" w:firstLineChars="200"/>
        <w:jc w:val="left"/>
        <w:rPr>
          <w:rFonts w:ascii="宋体" w:hAnsi="宋体"/>
          <w:sz w:val="24"/>
        </w:rPr>
      </w:pPr>
      <w:r>
        <w:rPr>
          <w:rFonts w:hint="eastAsia" w:ascii="宋体" w:hAnsi="宋体"/>
          <w:sz w:val="24"/>
        </w:rPr>
        <w:t>4.了解常见电路的简单故障的判断与排除方法，能</w:t>
      </w:r>
      <w:r>
        <w:rPr>
          <w:rFonts w:ascii="宋体" w:hAnsi="宋体"/>
          <w:sz w:val="24"/>
        </w:rPr>
        <w:t>处理紧急触电事故及电气火灾</w:t>
      </w:r>
      <w:r>
        <w:rPr>
          <w:rFonts w:hint="eastAsia" w:ascii="宋体" w:hAnsi="宋体"/>
          <w:sz w:val="24"/>
        </w:rPr>
        <w:t>。</w:t>
      </w:r>
    </w:p>
    <w:p>
      <w:pPr>
        <w:widowControl/>
        <w:topLinePunct/>
        <w:ind w:firstLine="480" w:firstLineChars="200"/>
        <w:jc w:val="left"/>
        <w:rPr>
          <w:rFonts w:ascii="宋体" w:hAnsi="宋体"/>
          <w:sz w:val="24"/>
        </w:rPr>
      </w:pPr>
      <w:r>
        <w:rPr>
          <w:rFonts w:hint="eastAsia" w:ascii="宋体" w:hAnsi="宋体"/>
          <w:sz w:val="24"/>
        </w:rPr>
        <w:t>5.具有安全用电、规范操作的职业习惯，具备严谨求实、精益求精的工作态度。</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五</w:t>
      </w:r>
      <w:r>
        <w:rPr>
          <w:rFonts w:ascii="宋体" w:hAnsi="宋体" w:cs="宋体"/>
          <w:b/>
          <w:kern w:val="0"/>
          <w:sz w:val="28"/>
          <w:szCs w:val="28"/>
        </w:rPr>
        <w:t>、</w:t>
      </w:r>
      <w:r>
        <w:rPr>
          <w:rFonts w:hint="eastAsia" w:ascii="宋体" w:hAnsi="宋体" w:cs="宋体"/>
          <w:b/>
          <w:kern w:val="0"/>
          <w:sz w:val="28"/>
          <w:szCs w:val="28"/>
        </w:rPr>
        <w:t>课程</w:t>
      </w:r>
      <w:r>
        <w:rPr>
          <w:rFonts w:ascii="宋体" w:hAnsi="宋体" w:cs="宋体"/>
          <w:b/>
          <w:kern w:val="0"/>
          <w:sz w:val="28"/>
          <w:szCs w:val="28"/>
        </w:rPr>
        <w:t>内容</w:t>
      </w:r>
      <w:r>
        <w:rPr>
          <w:rFonts w:hint="eastAsia" w:ascii="宋体" w:hAnsi="宋体" w:cs="宋体"/>
          <w:b/>
          <w:kern w:val="0"/>
          <w:sz w:val="28"/>
          <w:szCs w:val="28"/>
        </w:rPr>
        <w:t>与</w:t>
      </w:r>
      <w:r>
        <w:rPr>
          <w:rFonts w:ascii="宋体" w:hAnsi="宋体" w:cs="宋体"/>
          <w:b/>
          <w:kern w:val="0"/>
          <w:sz w:val="28"/>
          <w:szCs w:val="28"/>
        </w:rPr>
        <w:t>要求</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547"/>
        <w:gridCol w:w="5333"/>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939" w:type="dxa"/>
            <w:vAlign w:val="center"/>
          </w:tcPr>
          <w:p>
            <w:pPr>
              <w:pStyle w:val="24"/>
              <w:widowControl w:val="0"/>
              <w:adjustRightInd/>
              <w:snapToGrid/>
              <w:ind w:left="241" w:hanging="241" w:hangingChars="100"/>
              <w:contextualSpacing/>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模块</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b/>
                <w:kern w:val="0"/>
                <w:sz w:val="24"/>
                <w:szCs w:val="24"/>
              </w:rPr>
            </w:pPr>
            <w:r>
              <w:rPr>
                <w:rFonts w:hint="eastAsia" w:asciiTheme="majorEastAsia" w:hAnsiTheme="majorEastAsia" w:eastAsiaTheme="majorEastAsia"/>
                <w:b/>
                <w:kern w:val="0"/>
                <w:sz w:val="24"/>
                <w:szCs w:val="24"/>
              </w:rPr>
              <w:t>教学单元</w:t>
            </w:r>
          </w:p>
        </w:tc>
        <w:tc>
          <w:tcPr>
            <w:tcW w:w="5333" w:type="dxa"/>
            <w:vAlign w:val="center"/>
          </w:tcPr>
          <w:p>
            <w:pPr>
              <w:pStyle w:val="17"/>
              <w:topLinePunct/>
              <w:adjustRightInd w:val="0"/>
              <w:spacing w:line="240" w:lineRule="auto"/>
              <w:ind w:left="241" w:hanging="241" w:hangingChars="100"/>
              <w:contextualSpacing/>
              <w:jc w:val="center"/>
              <w:rPr>
                <w:rFonts w:asciiTheme="majorEastAsia" w:hAnsiTheme="majorEastAsia" w:eastAsiaTheme="majorEastAsia"/>
                <w:b/>
                <w:kern w:val="0"/>
                <w:sz w:val="24"/>
                <w:szCs w:val="24"/>
              </w:rPr>
            </w:pPr>
            <w:r>
              <w:rPr>
                <w:rFonts w:hint="eastAsia" w:asciiTheme="majorEastAsia" w:hAnsiTheme="majorEastAsia" w:eastAsiaTheme="majorEastAsia"/>
                <w:b/>
                <w:kern w:val="0"/>
                <w:sz w:val="24"/>
                <w:szCs w:val="24"/>
              </w:rPr>
              <w:t>内容及要求</w:t>
            </w:r>
          </w:p>
        </w:tc>
        <w:tc>
          <w:tcPr>
            <w:tcW w:w="747" w:type="dxa"/>
            <w:vAlign w:val="center"/>
          </w:tcPr>
          <w:p>
            <w:pPr>
              <w:pStyle w:val="17"/>
              <w:topLinePunct/>
              <w:spacing w:line="240" w:lineRule="auto"/>
              <w:ind w:firstLine="0" w:firstLineChars="0"/>
              <w:contextualSpacing/>
              <w:jc w:val="center"/>
              <w:rPr>
                <w:rFonts w:asciiTheme="majorEastAsia" w:hAnsiTheme="majorEastAsia" w:eastAsiaTheme="majorEastAsia"/>
                <w:b/>
                <w:kern w:val="0"/>
                <w:sz w:val="24"/>
                <w:szCs w:val="24"/>
              </w:rPr>
            </w:pPr>
            <w:r>
              <w:rPr>
                <w:rFonts w:hint="eastAsia" w:asciiTheme="majorEastAsia" w:hAnsiTheme="majorEastAsia" w:eastAsiaTheme="majorEastAsia"/>
                <w:b/>
                <w:kern w:val="0"/>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直流</w:t>
            </w:r>
            <w:r>
              <w:rPr>
                <w:rFonts w:asciiTheme="majorEastAsia" w:hAnsiTheme="majorEastAsia" w:eastAsiaTheme="majorEastAsia"/>
                <w:kern w:val="0"/>
                <w:sz w:val="24"/>
                <w:szCs w:val="24"/>
              </w:rPr>
              <w:t>电路</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电路的常用物理量</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1.了解电路中电流、电压、电位、电动势、电能、电功率等常用物理量的概念；</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2.会分析与计算直流电路的常用物理量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1</w:t>
            </w:r>
            <w:r>
              <w:rPr>
                <w:rFonts w:asciiTheme="majorEastAsia" w:hAnsiTheme="majorEastAsia" w:eastAsiaTheme="major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电阻元件与欧姆定律</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1.了解电阻器和电位器的外形、结构、作用、主要参数，及其与温度的关系和超导现象；</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2.会计算导体的电阻；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3.能区别线性电阻和非线性电阻；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4.理解并能利用欧姆定律对电路进行分析与计算</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电阻的连接</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1.掌握电阻串联、并联及混联的连接方式及电路特点；</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2.会计算串联、并联及混联电路的等效电阻、电压、电流及电功率</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基尔霍夫定律</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1.理解基尔霍夫定律；</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2.能应用KCL、KVL列出电路方程</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tcMar>
              <w:left w:w="0" w:type="dxa"/>
              <w:right w:w="0" w:type="dxa"/>
            </w:tcMar>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直流物理量测量实验</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1.会使用万用表测量直流电路的电流、电压（电位）；</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2.会使用万用表的电阻档测量电阻，并能正确读数</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color w:val="000000" w:themeColor="text1"/>
                <w:kern w:val="0"/>
                <w:sz w:val="24"/>
                <w:szCs w:val="24"/>
              </w:rPr>
            </w:pPr>
            <w:r>
              <w:rPr>
                <w:rFonts w:hint="eastAsia" w:asciiTheme="majorEastAsia" w:hAnsiTheme="majorEastAsia" w:eastAsiaTheme="majorEastAsia"/>
                <w:color w:val="000000" w:themeColor="text1"/>
                <w:kern w:val="0"/>
                <w:sz w:val="24"/>
                <w:szCs w:val="24"/>
              </w:rPr>
              <w:t>电容器</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color w:val="000000" w:themeColor="text1"/>
                <w:kern w:val="0"/>
                <w:sz w:val="24"/>
                <w:szCs w:val="24"/>
              </w:rPr>
            </w:pPr>
            <w:r>
              <w:rPr>
                <w:rFonts w:hint="eastAsia" w:asciiTheme="majorEastAsia" w:hAnsiTheme="majorEastAsia" w:eastAsiaTheme="majorEastAsia"/>
                <w:color w:val="000000" w:themeColor="text1"/>
                <w:kern w:val="0"/>
                <w:sz w:val="24"/>
                <w:szCs w:val="24"/>
              </w:rPr>
              <w:t>电容及</w:t>
            </w:r>
            <w:r>
              <w:rPr>
                <w:rFonts w:asciiTheme="majorEastAsia" w:hAnsiTheme="majorEastAsia" w:eastAsiaTheme="majorEastAsia"/>
                <w:color w:val="000000" w:themeColor="text1"/>
                <w:kern w:val="0"/>
                <w:sz w:val="24"/>
                <w:szCs w:val="24"/>
              </w:rPr>
              <w:t>电容</w:t>
            </w:r>
            <w:r>
              <w:rPr>
                <w:rFonts w:hint="eastAsia" w:asciiTheme="majorEastAsia" w:hAnsiTheme="majorEastAsia" w:eastAsiaTheme="majorEastAsia"/>
                <w:color w:val="000000" w:themeColor="text1"/>
                <w:kern w:val="0"/>
                <w:sz w:val="24"/>
                <w:szCs w:val="24"/>
              </w:rPr>
              <w:t>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1.认识电容元件，会识别不同类型的电容器；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2.能复述电容器的概念、参数、标注及应用</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color w:val="000000" w:themeColor="text1"/>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color w:val="000000" w:themeColor="text1"/>
                <w:kern w:val="0"/>
                <w:sz w:val="24"/>
                <w:szCs w:val="24"/>
              </w:rPr>
            </w:pPr>
            <w:r>
              <w:rPr>
                <w:rFonts w:hint="eastAsia" w:asciiTheme="majorEastAsia" w:hAnsiTheme="majorEastAsia" w:eastAsiaTheme="majorEastAsia"/>
                <w:color w:val="000000" w:themeColor="text1"/>
                <w:kern w:val="0"/>
                <w:sz w:val="24"/>
                <w:szCs w:val="24"/>
              </w:rPr>
              <w:t>电容器</w:t>
            </w:r>
            <w:r>
              <w:rPr>
                <w:rFonts w:asciiTheme="majorEastAsia" w:hAnsiTheme="majorEastAsia" w:eastAsiaTheme="majorEastAsia"/>
                <w:color w:val="000000" w:themeColor="text1"/>
                <w:kern w:val="0"/>
                <w:sz w:val="24"/>
                <w:szCs w:val="24"/>
              </w:rPr>
              <w:t>充放电及连接</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w:t>
            </w:r>
            <w:r>
              <w:rPr>
                <w:rFonts w:ascii="宋体" w:hAnsi="宋体" w:cs="宋体"/>
                <w:spacing w:val="-4"/>
                <w:sz w:val="24"/>
                <w:szCs w:val="24"/>
              </w:rPr>
              <w:t>电容器的充电与放电</w:t>
            </w:r>
            <w:r>
              <w:rPr>
                <w:rFonts w:hint="eastAsia" w:ascii="宋体" w:hAnsi="宋体" w:cs="宋体"/>
                <w:spacing w:val="-4"/>
                <w:sz w:val="24"/>
                <w:szCs w:val="24"/>
              </w:rPr>
              <w:t>过程</w:t>
            </w:r>
            <w:r>
              <w:rPr>
                <w:rFonts w:ascii="宋体" w:hAnsi="宋体" w:cs="宋体"/>
                <w:spacing w:val="-4"/>
                <w:sz w:val="24"/>
                <w:szCs w:val="24"/>
              </w:rPr>
              <w:t>中物理量的变化规律</w:t>
            </w:r>
            <w:r>
              <w:rPr>
                <w:rFonts w:hint="eastAsia" w:ascii="宋体" w:hAnsi="宋体" w:cs="宋体"/>
                <w:spacing w:val="-4"/>
                <w:sz w:val="24"/>
                <w:szCs w:val="24"/>
              </w:rPr>
              <w:t>；</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w:t>
            </w:r>
            <w:r>
              <w:rPr>
                <w:rFonts w:ascii="宋体" w:hAnsi="宋体" w:cs="宋体"/>
                <w:spacing w:val="-4"/>
                <w:sz w:val="24"/>
                <w:szCs w:val="24"/>
              </w:rPr>
              <w:t>计算电容的串联与并联后的等效电容</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磁场及电磁感应定律</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磁场</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1.了解磁场，会判断电流的磁场方向；</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2.会判断安培力</w:t>
            </w:r>
            <w:r>
              <w:rPr>
                <w:rFonts w:ascii="宋体" w:hAnsi="宋体" w:cs="宋体"/>
                <w:spacing w:val="-4"/>
                <w:sz w:val="24"/>
                <w:szCs w:val="24"/>
              </w:rPr>
              <w:t>的</w:t>
            </w:r>
            <w:r>
              <w:rPr>
                <w:rFonts w:hint="eastAsia" w:ascii="宋体" w:hAnsi="宋体" w:cs="宋体"/>
                <w:spacing w:val="-4"/>
                <w:sz w:val="24"/>
                <w:szCs w:val="24"/>
              </w:rPr>
              <w:t>方向</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电磁感应定律</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1.了解电磁感应现象及定律；</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2.能用楞次定律和右手定则判定感生电动势的方向；</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w:t>
            </w:r>
            <w:r>
              <w:rPr>
                <w:rFonts w:hint="eastAsia" w:ascii="宋体" w:hAnsi="宋体" w:cs="宋体"/>
                <w:spacing w:val="-4"/>
                <w:sz w:val="24"/>
                <w:szCs w:val="24"/>
              </w:rPr>
              <w:t>认识电感元件</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tcMar>
              <w:left w:w="28" w:type="dxa"/>
              <w:right w:w="28" w:type="dxa"/>
            </w:tcMar>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交流电路</w:t>
            </w:r>
          </w:p>
        </w:tc>
        <w:tc>
          <w:tcPr>
            <w:tcW w:w="1547" w:type="dxa"/>
            <w:tcMar>
              <w:left w:w="28" w:type="dxa"/>
              <w:right w:w="28" w:type="dxa"/>
            </w:tcMar>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正弦交流电路的基本物理量</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1.了解正弦交流电的产生及波形图；</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2.能复述频率、角频率、周期的定义及其关系；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3.能复述最大值、有效值的定义及其关系；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4.能复述初相位与相位差的概念，会进行同频率正弦量相位关系的比较；</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5.了解正弦量解析式与相量图的相互转换</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tcMar>
              <w:left w:w="57" w:type="dxa"/>
              <w:right w:w="57" w:type="dxa"/>
            </w:tcMar>
            <w:vAlign w:val="center"/>
          </w:tcPr>
          <w:p>
            <w:pPr>
              <w:pStyle w:val="17"/>
              <w:topLinePunct/>
              <w:spacing w:line="240" w:lineRule="auto"/>
              <w:ind w:firstLine="0" w:firstLineChars="0"/>
              <w:contextualSpacing/>
              <w:jc w:val="center"/>
              <w:rPr>
                <w:rFonts w:asciiTheme="majorEastAsia" w:hAnsiTheme="majorEastAsia" w:eastAsiaTheme="majorEastAsia"/>
                <w:spacing w:val="-6"/>
                <w:kern w:val="0"/>
                <w:sz w:val="24"/>
                <w:szCs w:val="24"/>
              </w:rPr>
            </w:pPr>
            <w:r>
              <w:rPr>
                <w:rFonts w:hint="eastAsia" w:asciiTheme="majorEastAsia" w:hAnsiTheme="majorEastAsia" w:eastAsiaTheme="majorEastAsia"/>
                <w:spacing w:val="-10"/>
                <w:kern w:val="0"/>
                <w:sz w:val="24"/>
                <w:szCs w:val="24"/>
              </w:rPr>
              <w:t>纯电阻、</w:t>
            </w:r>
            <w:r>
              <w:rPr>
                <w:rFonts w:hint="eastAsia" w:asciiTheme="majorEastAsia" w:hAnsiTheme="majorEastAsia" w:eastAsiaTheme="majorEastAsia"/>
                <w:kern w:val="0"/>
                <w:sz w:val="24"/>
                <w:szCs w:val="24"/>
              </w:rPr>
              <w:t>纯电感、纯电容电路及RLC串联</w:t>
            </w:r>
            <w:r>
              <w:rPr>
                <w:rFonts w:asciiTheme="majorEastAsia" w:hAnsiTheme="majorEastAsia" w:eastAsiaTheme="majorEastAsia"/>
                <w:kern w:val="0"/>
                <w:sz w:val="24"/>
                <w:szCs w:val="24"/>
              </w:rPr>
              <w:t>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1.能复述纯电阻电路电压与电流的关系，会计算有功功率；</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2.能复述纯电感电路电压与电流的关系，会计算感抗、有功功率和无功功率；</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3.能复述纯电容电路电压与电流的关系，会计算容抗、有功功率和无功功率；</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4.熟悉RL</w:t>
            </w:r>
            <w:r>
              <w:rPr>
                <w:rFonts w:ascii="宋体" w:hAnsi="宋体" w:cs="宋体"/>
                <w:spacing w:val="-4"/>
                <w:sz w:val="24"/>
                <w:szCs w:val="24"/>
              </w:rPr>
              <w:t>C</w:t>
            </w:r>
            <w:r>
              <w:rPr>
                <w:rFonts w:hint="eastAsia" w:ascii="宋体" w:hAnsi="宋体" w:cs="宋体"/>
                <w:spacing w:val="-4"/>
                <w:sz w:val="24"/>
                <w:szCs w:val="24"/>
              </w:rPr>
              <w:t>串联电路电压与电流的关系，会计算阻抗、视在功率，理解电路有功功率、无功功率和视在功率的关系；</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5.理解电路的功率因数，能说出提高功率因数的方法及提高电路功率因数的意义</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三相正弦交流电路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w:t>
            </w:r>
            <w:r>
              <w:rPr>
                <w:rFonts w:hint="eastAsia" w:ascii="宋体" w:hAnsi="宋体" w:cs="宋体"/>
                <w:spacing w:val="-4"/>
                <w:sz w:val="24"/>
                <w:szCs w:val="24"/>
              </w:rPr>
              <w:t>.了解三相正弦交流电的产生、相序、应用；</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.熟悉实际生产生活中的三相五线制供电；</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3.掌握</w:t>
            </w:r>
            <w:r>
              <w:rPr>
                <w:rFonts w:hint="eastAsia" w:ascii="宋体" w:hAnsi="宋体" w:cs="宋体"/>
                <w:spacing w:val="-4"/>
                <w:sz w:val="24"/>
                <w:szCs w:val="24"/>
              </w:rPr>
              <w:t>人</w:t>
            </w:r>
            <w:r>
              <w:rPr>
                <w:rFonts w:ascii="宋体" w:hAnsi="宋体" w:cs="宋体"/>
                <w:spacing w:val="-4"/>
                <w:sz w:val="24"/>
                <w:szCs w:val="24"/>
              </w:rPr>
              <w:t>体触电原理及安全用电</w:t>
            </w:r>
            <w:r>
              <w:rPr>
                <w:rFonts w:hint="eastAsia" w:ascii="宋体" w:hAnsi="宋体" w:cs="宋体"/>
                <w:spacing w:val="-4"/>
                <w:sz w:val="24"/>
                <w:szCs w:val="24"/>
              </w:rPr>
              <w:t>常识</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电机和</w:t>
            </w:r>
            <w:r>
              <w:rPr>
                <w:rFonts w:asciiTheme="majorEastAsia" w:hAnsiTheme="majorEastAsia" w:eastAsiaTheme="majorEastAsia"/>
                <w:kern w:val="0"/>
                <w:sz w:val="24"/>
                <w:szCs w:val="24"/>
              </w:rPr>
              <w:t>变压器</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交流电动机</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1.能说出三相笼型交流异步电动机的基本结构和工作原理，了解三相笼型交流异步电动机的铭牌参数；</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2.了解三相绕线式异步电动机的基本结构；</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.了解三相异步电动机机械特性的含义；</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4.了解单相异步电动机的基本结构、工作原理、启动方式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变压器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1.能说出单相变压器的基本结构、额定值及用途；</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2.了解变压器的工作原理及变压比、变流比的概念；</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3.了解变压器的外特性、损耗及效率</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topLinePunct/>
              <w:jc w:val="center"/>
              <w:rPr>
                <w:rFonts w:asciiTheme="majorEastAsia" w:hAnsiTheme="majorEastAsia" w:eastAsiaTheme="majorEastAsia"/>
                <w:kern w:val="0"/>
                <w:sz w:val="24"/>
              </w:rPr>
            </w:pPr>
            <w:r>
              <w:rPr>
                <w:rFonts w:hint="eastAsia" w:asciiTheme="majorEastAsia" w:hAnsiTheme="majorEastAsia" w:eastAsiaTheme="majorEastAsia"/>
                <w:kern w:val="0"/>
                <w:sz w:val="24"/>
              </w:rPr>
              <w:t>电工技能</w:t>
            </w:r>
            <w:r>
              <w:rPr>
                <w:rFonts w:asciiTheme="majorEastAsia" w:hAnsiTheme="majorEastAsia" w:eastAsiaTheme="majorEastAsia"/>
                <w:kern w:val="0"/>
                <w:sz w:val="24"/>
              </w:rPr>
              <w:t>综合</w:t>
            </w:r>
            <w:r>
              <w:rPr>
                <w:rFonts w:hint="eastAsia" w:asciiTheme="majorEastAsia" w:hAnsiTheme="majorEastAsia" w:eastAsiaTheme="majorEastAsia"/>
                <w:kern w:val="0"/>
                <w:sz w:val="24"/>
              </w:rPr>
              <w:t>实践</w:t>
            </w:r>
          </w:p>
        </w:tc>
        <w:tc>
          <w:tcPr>
            <w:tcW w:w="1547" w:type="dxa"/>
            <w:tcMar>
              <w:left w:w="0" w:type="dxa"/>
              <w:right w:w="0" w:type="dxa"/>
            </w:tcMar>
            <w:vAlign w:val="center"/>
          </w:tcPr>
          <w:p>
            <w:pPr>
              <w:pStyle w:val="17"/>
              <w:topLinePunct/>
              <w:adjustRightInd w:val="0"/>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常用仪器</w:t>
            </w:r>
            <w:r>
              <w:rPr>
                <w:rFonts w:asciiTheme="majorEastAsia" w:hAnsiTheme="majorEastAsia" w:eastAsiaTheme="majorEastAsia"/>
                <w:kern w:val="0"/>
                <w:sz w:val="24"/>
                <w:szCs w:val="24"/>
              </w:rPr>
              <w:t>仪表及工具的使用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能认识常用的电工仪器仪表和工具；</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会</w:t>
            </w:r>
            <w:r>
              <w:rPr>
                <w:rFonts w:ascii="宋体" w:hAnsi="宋体" w:cs="宋体"/>
                <w:spacing w:val="-4"/>
                <w:sz w:val="24"/>
                <w:szCs w:val="24"/>
              </w:rPr>
              <w:t>规范使用万用表</w:t>
            </w:r>
            <w:r>
              <w:rPr>
                <w:rFonts w:hint="eastAsia" w:ascii="宋体" w:hAnsi="宋体" w:cs="宋体"/>
                <w:spacing w:val="-4"/>
                <w:sz w:val="24"/>
                <w:szCs w:val="24"/>
              </w:rPr>
              <w:t>测量</w:t>
            </w:r>
            <w:r>
              <w:rPr>
                <w:rFonts w:ascii="宋体" w:hAnsi="宋体" w:cs="宋体"/>
                <w:spacing w:val="-4"/>
                <w:sz w:val="24"/>
                <w:szCs w:val="24"/>
              </w:rPr>
              <w:t>电压、电阻、电流等物理量</w:t>
            </w:r>
            <w:r>
              <w:rPr>
                <w:rFonts w:hint="eastAsia" w:ascii="宋体" w:hAnsi="宋体" w:cs="宋体"/>
                <w:spacing w:val="-4"/>
                <w:sz w:val="24"/>
                <w:szCs w:val="24"/>
              </w:rPr>
              <w:t>；</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会正确使用剥线钳、</w:t>
            </w:r>
            <w:r>
              <w:rPr>
                <w:rFonts w:hint="eastAsia" w:ascii="宋体" w:hAnsi="宋体" w:cs="宋体"/>
                <w:spacing w:val="-4"/>
                <w:sz w:val="24"/>
                <w:szCs w:val="24"/>
              </w:rPr>
              <w:t>尖</w:t>
            </w:r>
            <w:r>
              <w:rPr>
                <w:rFonts w:ascii="宋体" w:hAnsi="宋体" w:cs="宋体"/>
                <w:spacing w:val="-4"/>
                <w:sz w:val="24"/>
                <w:szCs w:val="24"/>
              </w:rPr>
              <w:t>嘴钳、</w:t>
            </w:r>
            <w:r>
              <w:rPr>
                <w:rFonts w:hint="eastAsia" w:ascii="宋体" w:hAnsi="宋体" w:cs="宋体"/>
                <w:spacing w:val="-4"/>
                <w:sz w:val="24"/>
                <w:szCs w:val="24"/>
              </w:rPr>
              <w:t>螺丝刀</w:t>
            </w:r>
            <w:r>
              <w:rPr>
                <w:rFonts w:ascii="宋体" w:hAnsi="宋体" w:cs="宋体"/>
                <w:spacing w:val="-4"/>
                <w:sz w:val="24"/>
                <w:szCs w:val="24"/>
              </w:rPr>
              <w:t>等</w:t>
            </w:r>
            <w:r>
              <w:rPr>
                <w:rFonts w:hint="eastAsia" w:ascii="宋体" w:hAnsi="宋体" w:cs="宋体"/>
                <w:spacing w:val="-4"/>
                <w:sz w:val="24"/>
                <w:szCs w:val="24"/>
              </w:rPr>
              <w:t>进行导线</w:t>
            </w:r>
            <w:r>
              <w:rPr>
                <w:rFonts w:ascii="宋体" w:hAnsi="宋体" w:cs="宋体"/>
                <w:spacing w:val="-4"/>
                <w:sz w:val="24"/>
                <w:szCs w:val="24"/>
              </w:rPr>
              <w:t>的连接</w:t>
            </w:r>
          </w:p>
        </w:tc>
        <w:tc>
          <w:tcPr>
            <w:tcW w:w="747" w:type="dxa"/>
            <w:vMerge w:val="restart"/>
            <w:vAlign w:val="center"/>
          </w:tcPr>
          <w:p>
            <w:pPr>
              <w:topLinePunct/>
              <w:contextualSpacing/>
              <w:jc w:val="center"/>
              <w:rPr>
                <w:rFonts w:asciiTheme="majorEastAsia" w:hAnsiTheme="majorEastAsia" w:eastAsiaTheme="majorEastAsia"/>
                <w:kern w:val="0"/>
                <w:sz w:val="24"/>
              </w:rPr>
            </w:pPr>
            <w:r>
              <w:rPr>
                <w:rFonts w:asciiTheme="majorEastAsia" w:hAnsiTheme="majorEastAsia" w:eastAsiaTheme="majorEastAsia"/>
                <w:kern w:val="0"/>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topLinePunct/>
              <w:jc w:val="center"/>
              <w:rPr>
                <w:rFonts w:asciiTheme="majorEastAsia" w:hAnsiTheme="majorEastAsia" w:eastAsiaTheme="majorEastAsia"/>
                <w:kern w:val="0"/>
                <w:sz w:val="24"/>
              </w:rPr>
            </w:pPr>
          </w:p>
        </w:tc>
        <w:tc>
          <w:tcPr>
            <w:tcW w:w="1547" w:type="dxa"/>
            <w:tcMar>
              <w:left w:w="0" w:type="dxa"/>
              <w:right w:w="0" w:type="dxa"/>
            </w:tcMar>
            <w:vAlign w:val="center"/>
          </w:tcPr>
          <w:p>
            <w:pPr>
              <w:pStyle w:val="17"/>
              <w:topLinePunct/>
              <w:adjustRightInd w:val="0"/>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照明</w:t>
            </w:r>
            <w:r>
              <w:rPr>
                <w:rFonts w:asciiTheme="majorEastAsia" w:hAnsiTheme="majorEastAsia" w:eastAsiaTheme="majorEastAsia"/>
                <w:kern w:val="0"/>
                <w:sz w:val="24"/>
                <w:szCs w:val="24"/>
              </w:rPr>
              <w:t>电路安装</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熟悉常见照明灯具和节能新型电光源；</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会根据照明需要，合理选用灯具；</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.能</w:t>
            </w:r>
            <w:r>
              <w:rPr>
                <w:rFonts w:hint="eastAsia" w:ascii="宋体" w:hAnsi="宋体" w:cs="宋体"/>
                <w:spacing w:val="-4"/>
                <w:sz w:val="24"/>
                <w:szCs w:val="24"/>
              </w:rPr>
              <w:t>根据</w:t>
            </w:r>
            <w:r>
              <w:rPr>
                <w:rFonts w:ascii="宋体" w:hAnsi="宋体" w:cs="宋体"/>
                <w:spacing w:val="-4"/>
                <w:sz w:val="24"/>
                <w:szCs w:val="24"/>
              </w:rPr>
              <w:t>电路原理图</w:t>
            </w:r>
            <w:r>
              <w:rPr>
                <w:rFonts w:hint="eastAsia" w:ascii="宋体" w:hAnsi="宋体" w:cs="宋体"/>
                <w:spacing w:val="-4"/>
                <w:sz w:val="24"/>
                <w:szCs w:val="24"/>
              </w:rPr>
              <w:t>进行照明电路的安装与</w:t>
            </w:r>
            <w:r>
              <w:rPr>
                <w:rFonts w:ascii="宋体" w:hAnsi="宋体" w:cs="宋体"/>
                <w:spacing w:val="-4"/>
                <w:sz w:val="24"/>
                <w:szCs w:val="24"/>
              </w:rPr>
              <w:t>调试</w:t>
            </w:r>
          </w:p>
        </w:tc>
        <w:tc>
          <w:tcPr>
            <w:tcW w:w="747" w:type="dxa"/>
            <w:vMerge w:val="continue"/>
            <w:vAlign w:val="center"/>
          </w:tcPr>
          <w:p>
            <w:pPr>
              <w:topLinePunct/>
              <w:contextualSpacing/>
              <w:jc w:val="center"/>
              <w:rPr>
                <w:rFonts w:asciiTheme="majorEastAsia" w:hAnsiTheme="majorEastAsia" w:eastAsiaTheme="maj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二极管及整流电路</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二极管</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1.能复述二极管的结构、符号、特性和主要参数，能识别引脚，并合理使用；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2.能识别硅稳压管、发光二极管、光电二极管、变容二极管等典型二极管，了解其实际应用；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3.能用万用表判别二极管的极性和好坏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整流电路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1.能绘制半波整流电路，并简述其工作原理；</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.能绘制桥式整流电路，并简述其工作原理；</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.能列举出桥式整流电路在电子电器或设备中的应用</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滤波与</w:t>
            </w:r>
            <w:r>
              <w:rPr>
                <w:rFonts w:asciiTheme="majorEastAsia" w:hAnsiTheme="majorEastAsia" w:eastAsiaTheme="majorEastAsia"/>
                <w:kern w:val="0"/>
                <w:sz w:val="24"/>
                <w:szCs w:val="24"/>
              </w:rPr>
              <w:t>稳压</w:t>
            </w:r>
            <w:r>
              <w:rPr>
                <w:rFonts w:hint="eastAsia" w:asciiTheme="majorEastAsia" w:hAnsiTheme="majorEastAsia" w:eastAsiaTheme="majorEastAsia"/>
                <w:kern w:val="0"/>
                <w:sz w:val="24"/>
                <w:szCs w:val="24"/>
              </w:rPr>
              <w:t>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1.了解滤波电路的工作原理；</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w:t>
            </w:r>
            <w:r>
              <w:rPr>
                <w:rFonts w:ascii="宋体" w:hAnsi="宋体" w:cs="宋体"/>
                <w:spacing w:val="-4"/>
                <w:sz w:val="24"/>
                <w:szCs w:val="24"/>
              </w:rPr>
              <w:t>解集成</w:t>
            </w:r>
            <w:r>
              <w:rPr>
                <w:rFonts w:hint="eastAsia" w:ascii="宋体" w:hAnsi="宋体" w:cs="宋体"/>
                <w:spacing w:val="-4"/>
                <w:sz w:val="24"/>
                <w:szCs w:val="24"/>
              </w:rPr>
              <w:t>稳压电源，能列举出集成稳压电源的实际应用</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三极管及放大电路</w:t>
            </w: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三极管</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1.能说出三极管的结构、符号、特性和主要参数，能识别引脚，并合理使用；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2.会用万用表判别三极管的类型、引脚及三极管的好坏</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基本放大电路</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1.了解共射放大电路的电路结构和主要元器件的作用；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2.会计算小信号放大器的静态工作点，了解其性能指标（放大倍数、输入电阻、输出电阻）的含义</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射极输出器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能说出射极输出器的主要特点</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集成运算放大器</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1.能说出反馈的概念，以及负反馈对放大电路性能的影响；</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2.能绘制集成运放的符号，了解器件的引脚功能及内部结构；</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.能识读反相放大器、同相放大器电路图；</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4.会通过网络或手册查询</w:t>
            </w:r>
            <w:r>
              <w:rPr>
                <w:rFonts w:hint="eastAsia" w:ascii="宋体" w:hAnsi="宋体" w:cs="宋体"/>
                <w:spacing w:val="-4"/>
                <w:sz w:val="24"/>
                <w:szCs w:val="24"/>
              </w:rPr>
              <w:t>电子</w:t>
            </w:r>
            <w:r>
              <w:rPr>
                <w:rFonts w:ascii="宋体" w:hAnsi="宋体" w:cs="宋体"/>
                <w:spacing w:val="-4"/>
                <w:sz w:val="24"/>
                <w:szCs w:val="24"/>
              </w:rPr>
              <w:t>元</w:t>
            </w:r>
            <w:r>
              <w:rPr>
                <w:rFonts w:hint="eastAsia" w:ascii="宋体" w:hAnsi="宋体" w:cs="宋体"/>
                <w:spacing w:val="-4"/>
                <w:sz w:val="24"/>
                <w:szCs w:val="24"/>
              </w:rPr>
              <w:t>器</w:t>
            </w:r>
            <w:r>
              <w:rPr>
                <w:rFonts w:ascii="宋体" w:hAnsi="宋体" w:cs="宋体"/>
                <w:spacing w:val="-4"/>
                <w:sz w:val="24"/>
                <w:szCs w:val="24"/>
              </w:rPr>
              <w:t>件的资料</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restart"/>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电子技能</w:t>
            </w:r>
            <w:r>
              <w:rPr>
                <w:rFonts w:asciiTheme="majorEastAsia" w:hAnsiTheme="majorEastAsia" w:eastAsiaTheme="majorEastAsia"/>
                <w:kern w:val="0"/>
                <w:sz w:val="24"/>
                <w:szCs w:val="24"/>
              </w:rPr>
              <w:t>综合实践</w:t>
            </w:r>
          </w:p>
        </w:tc>
        <w:tc>
          <w:tcPr>
            <w:tcW w:w="1547" w:type="dxa"/>
            <w:vAlign w:val="center"/>
          </w:tcPr>
          <w:p>
            <w:pPr>
              <w:pStyle w:val="17"/>
              <w:topLinePunct/>
              <w:adjustRightInd w:val="0"/>
              <w:spacing w:line="240" w:lineRule="auto"/>
              <w:ind w:left="240" w:hanging="240" w:hangingChars="100"/>
              <w:contextualSpacing/>
              <w:jc w:val="left"/>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焊接基础</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1.掌握焊接工具和材料的使用；</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2.掌握基本的焊接操作要领；</w:t>
            </w:r>
          </w:p>
          <w:p>
            <w:pPr>
              <w:pStyle w:val="24"/>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能根据电路</w:t>
            </w:r>
            <w:r>
              <w:rPr>
                <w:rFonts w:ascii="宋体" w:hAnsi="宋体" w:cs="宋体"/>
                <w:spacing w:val="-4"/>
                <w:sz w:val="24"/>
                <w:szCs w:val="24"/>
              </w:rPr>
              <w:t>要求</w:t>
            </w:r>
            <w:r>
              <w:rPr>
                <w:rFonts w:hint="eastAsia" w:ascii="宋体" w:hAnsi="宋体" w:cs="宋体"/>
                <w:spacing w:val="-4"/>
                <w:sz w:val="24"/>
                <w:szCs w:val="24"/>
              </w:rPr>
              <w:t>对</w:t>
            </w:r>
            <w:r>
              <w:rPr>
                <w:rFonts w:ascii="宋体" w:hAnsi="宋体" w:cs="宋体"/>
                <w:spacing w:val="-4"/>
                <w:sz w:val="24"/>
                <w:szCs w:val="24"/>
              </w:rPr>
              <w:t>元件或导线</w:t>
            </w:r>
            <w:r>
              <w:rPr>
                <w:rFonts w:hint="eastAsia" w:ascii="宋体" w:hAnsi="宋体" w:cs="宋体"/>
                <w:spacing w:val="-4"/>
                <w:sz w:val="24"/>
                <w:szCs w:val="24"/>
              </w:rPr>
              <w:t>进行焊前处理</w:t>
            </w:r>
          </w:p>
        </w:tc>
        <w:tc>
          <w:tcPr>
            <w:tcW w:w="747" w:type="dxa"/>
            <w:vMerge w:val="restart"/>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r>
              <w:rPr>
                <w:rFonts w:asciiTheme="majorEastAsia" w:hAnsiTheme="majorEastAsia" w:eastAsiaTheme="majorEastAsia"/>
                <w:kern w:val="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9" w:type="dxa"/>
            <w:vMerge w:val="continue"/>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p>
        </w:tc>
        <w:tc>
          <w:tcPr>
            <w:tcW w:w="1547" w:type="dxa"/>
            <w:vAlign w:val="center"/>
          </w:tcPr>
          <w:p>
            <w:pPr>
              <w:pStyle w:val="17"/>
              <w:topLinePunct/>
              <w:spacing w:line="240" w:lineRule="auto"/>
              <w:ind w:firstLine="0" w:firstLineChars="0"/>
              <w:jc w:val="center"/>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线</w:t>
            </w:r>
            <w:r>
              <w:rPr>
                <w:rFonts w:asciiTheme="majorEastAsia" w:hAnsiTheme="majorEastAsia" w:eastAsiaTheme="majorEastAsia"/>
                <w:kern w:val="0"/>
                <w:sz w:val="24"/>
                <w:szCs w:val="24"/>
              </w:rPr>
              <w:t>路</w:t>
            </w:r>
            <w:r>
              <w:rPr>
                <w:rFonts w:hint="eastAsia" w:asciiTheme="majorEastAsia" w:hAnsiTheme="majorEastAsia" w:eastAsiaTheme="majorEastAsia"/>
                <w:kern w:val="0"/>
                <w:sz w:val="24"/>
                <w:szCs w:val="24"/>
              </w:rPr>
              <w:t>装调</w:t>
            </w:r>
          </w:p>
        </w:tc>
        <w:tc>
          <w:tcPr>
            <w:tcW w:w="5333" w:type="dxa"/>
            <w:vAlign w:val="center"/>
          </w:tcPr>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能安装、焊接由电阻器、电容器、二极管、三极管等组成的单面印制电路板；</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能识别虚焊、假焊；</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w:t>
            </w:r>
            <w:r>
              <w:rPr>
                <w:rFonts w:ascii="宋体" w:hAnsi="宋体" w:cs="宋体"/>
                <w:spacing w:val="-4"/>
                <w:sz w:val="24"/>
                <w:szCs w:val="24"/>
              </w:rPr>
              <w:t>.</w:t>
            </w:r>
            <w:r>
              <w:rPr>
                <w:rFonts w:hint="eastAsia" w:ascii="宋体" w:hAnsi="宋体" w:cs="宋体"/>
                <w:spacing w:val="-4"/>
                <w:sz w:val="24"/>
                <w:szCs w:val="24"/>
              </w:rPr>
              <w:t>了解低压电源、信号发生器、示波器等常用电子仪器仪表的基本使用方法；</w:t>
            </w:r>
          </w:p>
          <w:p>
            <w:pPr>
              <w:pStyle w:val="24"/>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w:t>
            </w:r>
            <w:r>
              <w:rPr>
                <w:rFonts w:ascii="宋体" w:hAnsi="宋体" w:cs="宋体"/>
                <w:spacing w:val="-4"/>
                <w:sz w:val="24"/>
                <w:szCs w:val="24"/>
              </w:rPr>
              <w:t>.</w:t>
            </w:r>
            <w:r>
              <w:rPr>
                <w:rFonts w:hint="eastAsia" w:ascii="宋体" w:hAnsi="宋体" w:cs="宋体"/>
                <w:spacing w:val="-4"/>
                <w:sz w:val="24"/>
                <w:szCs w:val="24"/>
              </w:rPr>
              <w:t>能进行半波、全波整流稳压电路和基本放大电路的测量、调试</w:t>
            </w:r>
          </w:p>
        </w:tc>
        <w:tc>
          <w:tcPr>
            <w:tcW w:w="747" w:type="dxa"/>
            <w:vMerge w:val="continue"/>
            <w:vAlign w:val="center"/>
          </w:tcPr>
          <w:p>
            <w:pPr>
              <w:pStyle w:val="17"/>
              <w:topLinePunct/>
              <w:spacing w:line="240" w:lineRule="auto"/>
              <w:ind w:firstLine="0" w:firstLineChars="0"/>
              <w:contextualSpacing/>
              <w:jc w:val="center"/>
              <w:rPr>
                <w:rFonts w:asciiTheme="majorEastAsia" w:hAnsiTheme="majorEastAsia" w:eastAsiaTheme="majorEastAsia"/>
                <w:kern w:val="0"/>
                <w:sz w:val="24"/>
                <w:szCs w:val="24"/>
              </w:rPr>
            </w:pPr>
          </w:p>
        </w:tc>
      </w:tr>
    </w:tbl>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六、实施建议</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（一）教学建议</w:t>
      </w:r>
    </w:p>
    <w:p>
      <w:pPr>
        <w:topLinePunct/>
        <w:ind w:firstLine="480" w:firstLineChars="200"/>
        <w:jc w:val="left"/>
        <w:rPr>
          <w:rFonts w:ascii="宋体" w:hAnsi="宋体" w:cs="宋体"/>
          <w:sz w:val="24"/>
        </w:rPr>
      </w:pPr>
      <w:r>
        <w:rPr>
          <w:rFonts w:ascii="宋体" w:hAnsi="宋体" w:cs="宋体"/>
          <w:sz w:val="24"/>
        </w:rPr>
        <w:t>1.</w:t>
      </w:r>
      <w:r>
        <w:rPr>
          <w:rFonts w:hint="eastAsia" w:ascii="宋体" w:hAnsi="宋体" w:cs="宋体"/>
          <w:sz w:val="24"/>
        </w:rPr>
        <w:t>充分挖掘本课程思政元素，积极组织课程思政教育</w:t>
      </w:r>
      <w:r>
        <w:rPr>
          <w:rFonts w:hint="eastAsia" w:ascii="宋体" w:hAnsi="宋体" w:cs="宋体"/>
          <w:sz w:val="24"/>
          <w:lang w:eastAsia="zh-CN"/>
        </w:rPr>
        <w:t>。</w:t>
      </w:r>
      <w:r>
        <w:rPr>
          <w:rFonts w:hint="eastAsia" w:ascii="宋体" w:hAnsi="宋体" w:cs="宋体"/>
          <w:sz w:val="24"/>
        </w:rPr>
        <w:t>突出</w:t>
      </w:r>
      <w:r>
        <w:rPr>
          <w:rFonts w:ascii="宋体" w:hAnsi="宋体" w:cs="宋体"/>
          <w:sz w:val="24"/>
        </w:rPr>
        <w:t>培育科技创新、求真务实、精益求精的精神</w:t>
      </w:r>
      <w:r>
        <w:rPr>
          <w:rFonts w:hint="eastAsia" w:ascii="宋体" w:hAnsi="宋体" w:cs="宋体"/>
          <w:sz w:val="24"/>
          <w:lang w:eastAsia="zh-CN"/>
        </w:rPr>
        <w:t>，</w:t>
      </w:r>
      <w:r>
        <w:rPr>
          <w:rFonts w:ascii="宋体" w:hAnsi="宋体" w:cs="宋体"/>
          <w:sz w:val="24"/>
        </w:rPr>
        <w:t>并将辩证思维渗透到教学过程中</w:t>
      </w:r>
      <w:r>
        <w:rPr>
          <w:rFonts w:hint="eastAsia" w:ascii="宋体" w:hAnsi="宋体" w:cs="宋体"/>
          <w:sz w:val="24"/>
          <w:lang w:eastAsia="zh-CN"/>
        </w:rPr>
        <w:t>；</w:t>
      </w:r>
      <w:r>
        <w:rPr>
          <w:rFonts w:ascii="宋体" w:hAnsi="宋体" w:cs="宋体"/>
          <w:sz w:val="24"/>
        </w:rPr>
        <w:t>引导学生节约能源、保护环境</w:t>
      </w:r>
      <w:r>
        <w:rPr>
          <w:rFonts w:hint="eastAsia" w:ascii="宋体" w:hAnsi="宋体" w:cs="宋体"/>
          <w:sz w:val="24"/>
        </w:rPr>
        <w:t>，</w:t>
      </w:r>
      <w:r>
        <w:rPr>
          <w:rFonts w:ascii="宋体" w:hAnsi="宋体" w:cs="宋体"/>
          <w:sz w:val="24"/>
        </w:rPr>
        <w:t>增强人与自然和谐共生意识；培养学生吃苦耐劳、踏实严谨、追求卓越的优秀品质</w:t>
      </w:r>
      <w:r>
        <w:rPr>
          <w:rFonts w:hint="eastAsia" w:ascii="宋体" w:hAnsi="宋体" w:cs="宋体"/>
          <w:sz w:val="24"/>
        </w:rPr>
        <w:t>；</w:t>
      </w:r>
      <w:r>
        <w:rPr>
          <w:rFonts w:ascii="宋体" w:hAnsi="宋体" w:cs="宋体"/>
          <w:sz w:val="24"/>
        </w:rPr>
        <w:t>注重培养学生的团队合作精神，唤醒他们为中华</w:t>
      </w:r>
      <w:r>
        <w:rPr>
          <w:rFonts w:hint="eastAsia" w:ascii="宋体" w:hAnsi="宋体" w:cs="宋体"/>
          <w:sz w:val="24"/>
        </w:rPr>
        <w:t>民</w:t>
      </w:r>
      <w:r>
        <w:rPr>
          <w:rFonts w:ascii="宋体" w:hAnsi="宋体" w:cs="宋体"/>
          <w:sz w:val="24"/>
        </w:rPr>
        <w:t>族伟大复兴事业奋斗的决心，</w:t>
      </w:r>
      <w:r>
        <w:rPr>
          <w:rFonts w:hint="eastAsia" w:ascii="宋体" w:hAnsi="宋体" w:cs="宋体"/>
          <w:sz w:val="24"/>
        </w:rPr>
        <w:t>将立德树人贯穿于课程实施全过程。</w:t>
      </w:r>
    </w:p>
    <w:p>
      <w:pPr>
        <w:topLinePunct/>
        <w:ind w:firstLine="480" w:firstLineChars="200"/>
        <w:jc w:val="left"/>
        <w:rPr>
          <w:rFonts w:ascii="宋体" w:hAnsi="宋体" w:cs="宋体"/>
          <w:sz w:val="24"/>
        </w:rPr>
      </w:pPr>
      <w:r>
        <w:rPr>
          <w:rFonts w:hint="eastAsia" w:ascii="宋体" w:hAnsi="宋体" w:cs="宋体"/>
          <w:sz w:val="24"/>
        </w:rPr>
        <w:t>2.贯彻以学生为中心的教学理念，发挥教师的主导作用，突出学生的主体地位，增强学生的自主学习能力。可按模块组织教学，让学生接触企业产品图样，组织学生开展小组合作探究学习，提高学生分析问题、解决问题能力和批判性思维能力。</w:t>
      </w:r>
    </w:p>
    <w:p>
      <w:pPr>
        <w:topLinePunct/>
        <w:ind w:firstLine="480" w:firstLineChars="200"/>
        <w:jc w:val="left"/>
        <w:rPr>
          <w:rFonts w:ascii="宋体" w:hAnsi="宋体"/>
          <w:sz w:val="24"/>
        </w:rPr>
      </w:pPr>
      <w:r>
        <w:rPr>
          <w:rFonts w:ascii="宋体" w:hAnsi="宋体"/>
          <w:sz w:val="24"/>
        </w:rPr>
        <w:t>3</w:t>
      </w:r>
      <w:r>
        <w:rPr>
          <w:rFonts w:hint="eastAsia" w:ascii="宋体" w:hAnsi="宋体"/>
          <w:sz w:val="24"/>
        </w:rPr>
        <w:t>.既注重对理论基础的分析，又强化学生的实践技能；教学实施过程中，“</w:t>
      </w:r>
      <w:r>
        <w:rPr>
          <w:rFonts w:hint="eastAsia" w:ascii="宋体" w:hAnsi="宋体"/>
          <w:kern w:val="0"/>
          <w:sz w:val="24"/>
        </w:rPr>
        <w:t>电工技能</w:t>
      </w:r>
      <w:r>
        <w:rPr>
          <w:rFonts w:ascii="宋体" w:hAnsi="宋体"/>
          <w:kern w:val="0"/>
          <w:sz w:val="24"/>
        </w:rPr>
        <w:t>综合实践</w:t>
      </w:r>
      <w:r>
        <w:rPr>
          <w:rFonts w:hint="eastAsia" w:ascii="宋体" w:hAnsi="宋体"/>
          <w:sz w:val="24"/>
        </w:rPr>
        <w:t>”和“</w:t>
      </w:r>
      <w:r>
        <w:rPr>
          <w:rFonts w:hint="eastAsia" w:ascii="宋体" w:hAnsi="宋体"/>
          <w:kern w:val="0"/>
          <w:sz w:val="24"/>
        </w:rPr>
        <w:t>电子技能综合实践</w:t>
      </w:r>
      <w:r>
        <w:rPr>
          <w:rFonts w:hint="eastAsia" w:ascii="宋体" w:hAnsi="宋体"/>
          <w:sz w:val="24"/>
        </w:rPr>
        <w:t>”两个模块宜以实践教学的形式安排教学，强化技能训练。</w:t>
      </w:r>
    </w:p>
    <w:p>
      <w:pPr>
        <w:topLinePunct/>
        <w:ind w:firstLine="480" w:firstLineChars="200"/>
        <w:jc w:val="left"/>
        <w:rPr>
          <w:rFonts w:ascii="宋体" w:hAnsi="宋体"/>
          <w:sz w:val="24"/>
        </w:rPr>
      </w:pPr>
      <w:r>
        <w:rPr>
          <w:rFonts w:hint="eastAsia" w:ascii="宋体" w:hAnsi="宋体"/>
          <w:sz w:val="24"/>
        </w:rPr>
        <w:t>4.应统筹考虑教学实施中的时空变换，使电工电子技术的理论学习、技能训练与生产实际相结合，将常用工具、仪表的规范使用融入教学，引导学生制作典型的电工电子产品。</w:t>
      </w:r>
    </w:p>
    <w:p>
      <w:pPr>
        <w:topLinePunct/>
        <w:ind w:firstLine="480" w:firstLineChars="200"/>
        <w:jc w:val="left"/>
        <w:rPr>
          <w:rFonts w:ascii="宋体" w:hAnsi="宋体"/>
          <w:sz w:val="24"/>
        </w:rPr>
      </w:pPr>
      <w:r>
        <w:rPr>
          <w:rFonts w:ascii="宋体" w:hAnsi="宋体"/>
          <w:sz w:val="24"/>
        </w:rPr>
        <w:t>5</w:t>
      </w:r>
      <w:r>
        <w:rPr>
          <w:rFonts w:hint="eastAsia" w:ascii="宋体" w:hAnsi="宋体"/>
          <w:sz w:val="24"/>
        </w:rPr>
        <w:t>.要注意将规范意识、安全意识、环保意识和敬业精神的养成融入教学实践，使学生在知识和技能的学习中形成良好的职业品质和职业素养。</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（二）评价建议</w:t>
      </w:r>
    </w:p>
    <w:p>
      <w:pPr>
        <w:topLinePunct/>
        <w:ind w:firstLine="480" w:firstLineChars="200"/>
        <w:jc w:val="left"/>
        <w:rPr>
          <w:rFonts w:ascii="宋体" w:hAnsi="宋体"/>
          <w:sz w:val="24"/>
        </w:rPr>
      </w:pPr>
      <w:r>
        <w:rPr>
          <w:rFonts w:hint="eastAsia" w:ascii="宋体" w:hAnsi="宋体"/>
          <w:sz w:val="24"/>
        </w:rPr>
        <w:t>1.树立正确的教学质量观，强化以育人为目标的考核评价</w:t>
      </w:r>
      <w:r>
        <w:rPr>
          <w:rFonts w:hint="eastAsia" w:ascii="宋体" w:hAnsi="宋体"/>
          <w:sz w:val="24"/>
          <w:lang w:eastAsia="zh-CN"/>
        </w:rPr>
        <w:t>。</w:t>
      </w:r>
      <w:r>
        <w:rPr>
          <w:rFonts w:hint="eastAsia" w:ascii="宋体" w:hAnsi="宋体"/>
          <w:sz w:val="24"/>
        </w:rPr>
        <w:t>通过过程评价与结果评价相结合、定量评价与定性评价相结合、自评与互评相结合，充分发挥评价的教育和激励作用，促进学生的全面发展。</w:t>
      </w:r>
    </w:p>
    <w:p>
      <w:pPr>
        <w:topLinePunct/>
        <w:ind w:firstLine="480" w:firstLineChars="200"/>
        <w:jc w:val="left"/>
        <w:rPr>
          <w:rFonts w:ascii="宋体" w:hAnsi="宋体"/>
          <w:sz w:val="24"/>
        </w:rPr>
      </w:pPr>
      <w:r>
        <w:rPr>
          <w:rFonts w:hint="eastAsia" w:ascii="宋体" w:hAnsi="宋体"/>
          <w:sz w:val="24"/>
        </w:rPr>
        <w:t>2.对“</w:t>
      </w:r>
      <w:r>
        <w:rPr>
          <w:rFonts w:hint="eastAsia" w:ascii="宋体" w:hAnsi="宋体"/>
          <w:kern w:val="0"/>
          <w:sz w:val="24"/>
        </w:rPr>
        <w:t>直流电路</w:t>
      </w:r>
      <w:r>
        <w:rPr>
          <w:rFonts w:hint="eastAsia" w:ascii="宋体" w:hAnsi="宋体"/>
          <w:sz w:val="24"/>
        </w:rPr>
        <w:t>”“</w:t>
      </w:r>
      <w:r>
        <w:rPr>
          <w:rFonts w:hint="eastAsia" w:ascii="宋体" w:hAnsi="宋体"/>
          <w:kern w:val="0"/>
          <w:sz w:val="24"/>
        </w:rPr>
        <w:t>电容与电感”等</w:t>
      </w:r>
      <w:r>
        <w:rPr>
          <w:rFonts w:hint="eastAsia" w:ascii="宋体" w:hAnsi="宋体"/>
          <w:sz w:val="24"/>
        </w:rPr>
        <w:t>理论性较强的教学模块，要注重评价</w:t>
      </w:r>
      <w:r>
        <w:rPr>
          <w:rFonts w:hint="eastAsia" w:ascii="宋体" w:hAnsi="宋体" w:cs="宋体"/>
          <w:sz w:val="24"/>
        </w:rPr>
        <w:t>学生对知识的理解与记忆程度，以及在实践中运用知识的能力；</w:t>
      </w:r>
      <w:r>
        <w:rPr>
          <w:rFonts w:hint="eastAsia" w:ascii="宋体" w:hAnsi="宋体"/>
          <w:sz w:val="24"/>
        </w:rPr>
        <w:t>对实践性较强的教学模块，既</w:t>
      </w:r>
      <w:r>
        <w:rPr>
          <w:rFonts w:hint="eastAsia" w:ascii="宋体" w:hAnsi="宋体" w:cs="宋体"/>
          <w:sz w:val="24"/>
        </w:rPr>
        <w:t>要</w:t>
      </w:r>
      <w:r>
        <w:rPr>
          <w:rFonts w:hint="eastAsia" w:ascii="宋体" w:hAnsi="宋体"/>
          <w:sz w:val="24"/>
        </w:rPr>
        <w:t>评价工具及仪器仪表的正确使用、</w:t>
      </w:r>
      <w:r>
        <w:rPr>
          <w:rFonts w:hint="eastAsia" w:ascii="宋体" w:hAnsi="宋体" w:cs="宋体"/>
          <w:bCs/>
          <w:sz w:val="24"/>
        </w:rPr>
        <w:t>观察判断</w:t>
      </w:r>
      <w:r>
        <w:rPr>
          <w:rFonts w:hint="eastAsia" w:ascii="宋体" w:hAnsi="宋体"/>
          <w:sz w:val="24"/>
        </w:rPr>
        <w:t>规范操作等方面的状况，还要兼顾其爱岗敬业精神与意志的养成。</w:t>
      </w:r>
    </w:p>
    <w:p>
      <w:pPr>
        <w:topLinePunct/>
        <w:ind w:firstLine="480" w:firstLineChars="200"/>
        <w:jc w:val="left"/>
        <w:rPr>
          <w:rFonts w:ascii="宋体" w:hAnsi="宋体"/>
          <w:sz w:val="24"/>
        </w:rPr>
      </w:pPr>
      <w:r>
        <w:rPr>
          <w:rFonts w:ascii="宋体" w:hAnsi="宋体" w:cs="宋体"/>
          <w:sz w:val="24"/>
        </w:rPr>
        <w:t>3.</w:t>
      </w:r>
      <w:r>
        <w:rPr>
          <w:rFonts w:hint="eastAsia" w:ascii="宋体" w:hAnsi="宋体" w:cs="宋体"/>
          <w:sz w:val="24"/>
        </w:rPr>
        <w:t>根据不同的教学单元，选择随堂测验、阶段测验、</w:t>
      </w:r>
      <w:r>
        <w:rPr>
          <w:rFonts w:hint="eastAsia" w:ascii="宋体" w:hAnsi="宋体"/>
          <w:sz w:val="24"/>
        </w:rPr>
        <w:t>方案评析、操作过程记录、活动报告等各具特色的评价方法。评价结果要及时、客观地向学生反馈，师生共同商讨确定改进的途径和方法。</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（三）教材编写和选用建议</w:t>
      </w:r>
    </w:p>
    <w:p>
      <w:pPr>
        <w:topLinePunct/>
        <w:ind w:firstLine="480" w:firstLineChars="200"/>
        <w:jc w:val="left"/>
        <w:rPr>
          <w:rFonts w:ascii="宋体" w:hAnsi="宋体"/>
          <w:sz w:val="24"/>
        </w:rPr>
      </w:pPr>
      <w:r>
        <w:rPr>
          <w:rFonts w:hint="eastAsia" w:ascii="宋体" w:hAnsi="宋体"/>
          <w:sz w:val="24"/>
        </w:rPr>
        <w:t>1.教材的编写和选用必须依据本标准</w:t>
      </w:r>
      <w:r>
        <w:rPr>
          <w:rFonts w:hint="eastAsia" w:ascii="宋体" w:hAnsi="宋体" w:cs="宋体"/>
          <w:kern w:val="0"/>
          <w:sz w:val="24"/>
        </w:rPr>
        <w:t>。</w:t>
      </w:r>
    </w:p>
    <w:p>
      <w:pPr>
        <w:topLinePunct/>
        <w:ind w:firstLine="480" w:firstLineChars="200"/>
        <w:jc w:val="left"/>
        <w:rPr>
          <w:rFonts w:ascii="宋体" w:hAnsi="宋体"/>
          <w:sz w:val="24"/>
        </w:rPr>
      </w:pPr>
      <w:r>
        <w:rPr>
          <w:rFonts w:hint="eastAsia" w:ascii="宋体" w:hAnsi="宋体"/>
          <w:sz w:val="24"/>
        </w:rPr>
        <w:t>2.教材内容应紧贴生产实际，在注重理论分析的同时，加强职场真实情境的渗透；应将电工电子技术领域的新知识、新技术、新工艺、新材料、新设备等融入教材。</w:t>
      </w:r>
    </w:p>
    <w:p>
      <w:pPr>
        <w:topLinePunct/>
        <w:ind w:firstLine="480" w:firstLineChars="200"/>
        <w:jc w:val="left"/>
        <w:rPr>
          <w:rFonts w:ascii="宋体" w:hAnsi="宋体"/>
          <w:sz w:val="24"/>
        </w:rPr>
      </w:pPr>
      <w:r>
        <w:rPr>
          <w:rFonts w:hint="eastAsia" w:ascii="宋体" w:hAnsi="宋体"/>
          <w:sz w:val="24"/>
        </w:rPr>
        <w:t>3.教材的呈现方式应符合中职学生的年龄特征与认知规律，图文并茂可以增强学生阅读教材的兴趣，激发学习热情，便于自主学习。</w:t>
      </w:r>
    </w:p>
    <w:p>
      <w:pPr>
        <w:pStyle w:val="7"/>
        <w:topLinePunct/>
        <w:spacing w:before="0" w:after="0" w:line="240" w:lineRule="auto"/>
        <w:ind w:firstLine="482" w:firstLineChars="200"/>
        <w:jc w:val="left"/>
        <w:rPr>
          <w:rFonts w:ascii="宋体" w:hAnsi="宋体"/>
          <w:sz w:val="24"/>
          <w:szCs w:val="24"/>
        </w:rPr>
      </w:pPr>
      <w:r>
        <w:rPr>
          <w:rFonts w:hint="eastAsia" w:ascii="宋体" w:hAnsi="宋体"/>
          <w:sz w:val="24"/>
          <w:szCs w:val="24"/>
        </w:rPr>
        <w:t>（四）课程资源开发与利用建议</w:t>
      </w:r>
    </w:p>
    <w:p>
      <w:pPr>
        <w:topLinePunct/>
        <w:ind w:firstLine="480" w:firstLineChars="200"/>
        <w:jc w:val="left"/>
        <w:rPr>
          <w:rFonts w:ascii="宋体" w:hAnsi="宋体"/>
          <w:sz w:val="24"/>
        </w:rPr>
      </w:pPr>
      <w:r>
        <w:rPr>
          <w:rFonts w:hint="eastAsia" w:ascii="宋体" w:hAnsi="宋体"/>
          <w:sz w:val="24"/>
        </w:rPr>
        <w:t>1.</w:t>
      </w:r>
      <w:r>
        <w:rPr>
          <w:rFonts w:hint="eastAsia" w:ascii="宋体" w:hAnsi="宋体" w:cs="宋体"/>
          <w:kern w:val="0"/>
          <w:sz w:val="24"/>
        </w:rPr>
        <w:t>教师应不断接受新知识、新方法和新理念，开发体现知识、技能、职业素养要求的</w:t>
      </w:r>
      <w:r>
        <w:rPr>
          <w:rFonts w:hint="eastAsia" w:ascii="宋体" w:hAnsi="宋体"/>
          <w:sz w:val="24"/>
        </w:rPr>
        <w:t>模拟仿真软件、多媒体课件等信息化教学资源。</w:t>
      </w:r>
    </w:p>
    <w:p>
      <w:pPr>
        <w:topLinePunct/>
        <w:ind w:firstLine="480" w:firstLineChars="200"/>
        <w:jc w:val="left"/>
        <w:rPr>
          <w:rFonts w:ascii="宋体" w:hAnsi="宋体"/>
          <w:sz w:val="24"/>
        </w:rPr>
      </w:pPr>
      <w:r>
        <w:rPr>
          <w:rFonts w:hint="eastAsia" w:ascii="宋体" w:hAnsi="宋体"/>
          <w:sz w:val="24"/>
        </w:rPr>
        <w:t>2.</w:t>
      </w:r>
      <w:r>
        <w:rPr>
          <w:rFonts w:hint="eastAsia" w:ascii="宋体" w:hAnsi="宋体" w:cs="宋体"/>
          <w:kern w:val="0"/>
          <w:sz w:val="24"/>
        </w:rPr>
        <w:t>注重常用工具书、</w:t>
      </w:r>
      <w:r>
        <w:rPr>
          <w:rFonts w:hint="eastAsia" w:ascii="宋体" w:hAnsi="宋体" w:cs="宋体"/>
          <w:sz w:val="24"/>
        </w:rPr>
        <w:t>拓展阅读材料等课程文本资源的配置和利用，</w:t>
      </w:r>
      <w:r>
        <w:rPr>
          <w:rFonts w:hint="eastAsia" w:ascii="宋体" w:hAnsi="宋体" w:cs="宋体"/>
          <w:kern w:val="0"/>
          <w:sz w:val="24"/>
        </w:rPr>
        <w:t>发挥校内实验场所、</w:t>
      </w:r>
      <w:r>
        <w:rPr>
          <w:rFonts w:hint="eastAsia" w:ascii="宋体" w:hAnsi="宋体" w:cs="宋体"/>
          <w:sz w:val="24"/>
        </w:rPr>
        <w:t>校外实训基地以及设施、工具、仪器等物质资源的利用</w:t>
      </w:r>
      <w:r>
        <w:rPr>
          <w:rFonts w:hint="eastAsia" w:ascii="宋体" w:hAnsi="宋体" w:cs="宋体"/>
          <w:kern w:val="0"/>
          <w:sz w:val="24"/>
        </w:rPr>
        <w:t>。</w:t>
      </w:r>
    </w:p>
    <w:p>
      <w:pPr>
        <w:topLinePunct/>
        <w:ind w:firstLine="480" w:firstLineChars="200"/>
        <w:jc w:val="left"/>
        <w:rPr>
          <w:rFonts w:ascii="宋体" w:hAnsi="宋体"/>
          <w:sz w:val="24"/>
        </w:rPr>
      </w:pPr>
      <w:r>
        <w:rPr>
          <w:rFonts w:hint="eastAsia" w:ascii="宋体" w:hAnsi="宋体" w:cs="宋体"/>
          <w:kern w:val="0"/>
          <w:sz w:val="24"/>
        </w:rPr>
        <w:t>3.</w:t>
      </w:r>
      <w:r>
        <w:rPr>
          <w:rFonts w:hint="eastAsia" w:ascii="宋体" w:hAnsi="宋体"/>
          <w:sz w:val="24"/>
        </w:rPr>
        <w:t>跟踪企业技术进步，吸引行业企业专家参与课程教学，</w:t>
      </w:r>
      <w:r>
        <w:rPr>
          <w:rFonts w:hint="eastAsia" w:ascii="宋体" w:hAnsi="宋体" w:cs="宋体"/>
          <w:kern w:val="0"/>
          <w:sz w:val="24"/>
        </w:rPr>
        <w:t>推进学校与企业的信息互通、人员互聘、资源共享。</w:t>
      </w:r>
    </w:p>
    <w:p>
      <w:pPr>
        <w:widowControl/>
        <w:topLinePunct/>
        <w:ind w:firstLine="478" w:firstLineChars="170"/>
        <w:jc w:val="left"/>
        <w:rPr>
          <w:rFonts w:ascii="宋体" w:hAnsi="宋体"/>
          <w:sz w:val="24"/>
        </w:rPr>
      </w:pPr>
      <w:r>
        <w:rPr>
          <w:rFonts w:hint="eastAsia" w:ascii="宋体" w:hAnsi="宋体" w:cs="宋体"/>
          <w:b/>
          <w:kern w:val="0"/>
          <w:sz w:val="28"/>
          <w:szCs w:val="28"/>
        </w:rPr>
        <w:t>七、说明</w:t>
      </w:r>
    </w:p>
    <w:p>
      <w:pPr>
        <w:ind w:firstLine="480" w:firstLineChars="200"/>
        <w:rPr>
          <w:rFonts w:ascii="宋体" w:hAnsi="宋体" w:cs="宋体"/>
          <w:kern w:val="0"/>
          <w:sz w:val="24"/>
        </w:rPr>
      </w:pPr>
      <w:r>
        <w:rPr>
          <w:rFonts w:hint="eastAsia" w:ascii="宋体" w:hAnsi="宋体" w:cs="宋体"/>
          <w:kern w:val="0"/>
          <w:sz w:val="24"/>
        </w:rPr>
        <w:t>本标准依据</w:t>
      </w:r>
      <w:r>
        <w:rPr>
          <w:rFonts w:hint="eastAsia" w:ascii="宋体" w:hAnsi="宋体"/>
          <w:sz w:val="24"/>
        </w:rPr>
        <w:t>《江苏省中等职业学校机电专业类课程指导方案》</w:t>
      </w:r>
      <w:r>
        <w:rPr>
          <w:rFonts w:hint="eastAsia" w:ascii="宋体" w:hAnsi="宋体" w:cs="宋体"/>
          <w:kern w:val="0"/>
          <w:sz w:val="24"/>
        </w:rPr>
        <w:t>编制，适用于江苏</w:t>
      </w:r>
      <w:r>
        <w:rPr>
          <w:rFonts w:ascii="宋体" w:hAnsi="宋体" w:cs="宋体"/>
          <w:kern w:val="0"/>
          <w:sz w:val="24"/>
        </w:rPr>
        <w:t>省</w:t>
      </w:r>
      <w:r>
        <w:rPr>
          <w:rFonts w:hint="eastAsia" w:ascii="宋体" w:hAnsi="宋体" w:cs="宋体"/>
          <w:kern w:val="0"/>
          <w:sz w:val="24"/>
        </w:rPr>
        <w:t>中等职业学校</w:t>
      </w:r>
      <w:r>
        <w:rPr>
          <w:rFonts w:hint="eastAsia" w:ascii="宋体" w:hAnsi="宋体"/>
          <w:sz w:val="24"/>
        </w:rPr>
        <w:t>机电类各</w:t>
      </w:r>
      <w:r>
        <w:rPr>
          <w:rFonts w:hint="eastAsia" w:ascii="宋体" w:hAnsi="宋体" w:cs="宋体"/>
          <w:kern w:val="0"/>
          <w:sz w:val="24"/>
        </w:rPr>
        <w:t>专业（三年制）学生。</w:t>
      </w:r>
    </w:p>
    <w:p>
      <w:pPr>
        <w:ind w:firstLine="420" w:firstLineChars="200"/>
      </w:pPr>
    </w:p>
    <w:p>
      <w:pPr>
        <w:spacing w:line="400" w:lineRule="exact"/>
        <w:ind w:firstLine="480" w:firstLineChars="200"/>
      </w:pPr>
      <w:r>
        <w:rPr>
          <w:rFonts w:ascii="楷体" w:hAnsi="楷体" w:eastAsia="楷体" w:cs="仿宋"/>
          <w:sz w:val="24"/>
          <w:szCs w:val="22"/>
        </w:rPr>
        <w:t>（</w:t>
      </w:r>
      <w:r>
        <w:rPr>
          <w:rFonts w:ascii="黑体" w:hAnsi="黑体" w:eastAsia="黑体" w:cs="仿宋"/>
          <w:sz w:val="24"/>
          <w:szCs w:val="22"/>
        </w:rPr>
        <w:t>开发人员及单位：</w:t>
      </w:r>
      <w:r>
        <w:rPr>
          <w:rFonts w:hint="eastAsia" w:ascii="楷体" w:hAnsi="楷体" w:eastAsia="楷体" w:cs="仿宋"/>
          <w:sz w:val="24"/>
          <w:szCs w:val="22"/>
        </w:rPr>
        <w:t>夏球，江苏省</w:t>
      </w:r>
      <w:r>
        <w:rPr>
          <w:rFonts w:ascii="楷体" w:hAnsi="楷体" w:eastAsia="楷体" w:cs="仿宋"/>
          <w:sz w:val="24"/>
          <w:szCs w:val="22"/>
        </w:rPr>
        <w:t>靖江中等专业</w:t>
      </w:r>
      <w:r>
        <w:rPr>
          <w:rFonts w:hint="eastAsia" w:ascii="楷体" w:hAnsi="楷体" w:eastAsia="楷体" w:cs="仿宋"/>
          <w:sz w:val="24"/>
          <w:szCs w:val="22"/>
        </w:rPr>
        <w:t>学校；杨</w:t>
      </w:r>
      <w:r>
        <w:rPr>
          <w:rFonts w:ascii="楷体" w:hAnsi="楷体" w:eastAsia="楷体" w:cs="仿宋"/>
          <w:sz w:val="24"/>
          <w:szCs w:val="22"/>
        </w:rPr>
        <w:t>欢</w:t>
      </w:r>
      <w:r>
        <w:rPr>
          <w:rFonts w:hint="eastAsia" w:ascii="楷体" w:hAnsi="楷体" w:eastAsia="楷体" w:cs="仿宋"/>
          <w:sz w:val="24"/>
          <w:szCs w:val="22"/>
        </w:rPr>
        <w:t>，常州刘国钧高等职业技术学校；徐刚，江苏省</w:t>
      </w:r>
      <w:r>
        <w:rPr>
          <w:rFonts w:ascii="楷体" w:hAnsi="楷体" w:eastAsia="楷体" w:cs="仿宋"/>
          <w:sz w:val="24"/>
          <w:szCs w:val="22"/>
        </w:rPr>
        <w:t>靖江中等专业</w:t>
      </w:r>
      <w:r>
        <w:rPr>
          <w:rFonts w:hint="eastAsia" w:ascii="楷体" w:hAnsi="楷体" w:eastAsia="楷体" w:cs="仿宋"/>
          <w:sz w:val="24"/>
          <w:szCs w:val="22"/>
        </w:rPr>
        <w:t>学校；朱静，江苏省</w:t>
      </w:r>
      <w:r>
        <w:rPr>
          <w:rFonts w:ascii="楷体" w:hAnsi="楷体" w:eastAsia="楷体" w:cs="仿宋"/>
          <w:sz w:val="24"/>
          <w:szCs w:val="22"/>
        </w:rPr>
        <w:t>靖江中等专业</w:t>
      </w:r>
      <w:r>
        <w:rPr>
          <w:rFonts w:hint="eastAsia" w:ascii="楷体" w:hAnsi="楷体" w:eastAsia="楷体" w:cs="仿宋"/>
          <w:sz w:val="24"/>
          <w:szCs w:val="22"/>
        </w:rPr>
        <w:t>学校；范</w:t>
      </w:r>
      <w:r>
        <w:rPr>
          <w:rFonts w:ascii="楷体" w:hAnsi="楷体" w:eastAsia="楷体" w:cs="仿宋"/>
          <w:sz w:val="24"/>
          <w:szCs w:val="22"/>
        </w:rPr>
        <w:t>次猛，江苏省无锡交通高等职业技术学校；</w:t>
      </w:r>
      <w:r>
        <w:rPr>
          <w:rFonts w:hint="eastAsia" w:ascii="楷体" w:hAnsi="楷体" w:eastAsia="楷体" w:cs="仿宋"/>
          <w:sz w:val="24"/>
          <w:szCs w:val="22"/>
        </w:rPr>
        <w:t>郭汉</w:t>
      </w:r>
      <w:r>
        <w:rPr>
          <w:rFonts w:ascii="楷体" w:hAnsi="楷体" w:eastAsia="楷体" w:cs="仿宋"/>
          <w:sz w:val="24"/>
          <w:szCs w:val="22"/>
        </w:rPr>
        <w:t>松</w:t>
      </w:r>
      <w:r>
        <w:rPr>
          <w:rFonts w:hint="eastAsia" w:ascii="楷体" w:hAnsi="楷体" w:eastAsia="楷体" w:cs="仿宋"/>
          <w:sz w:val="24"/>
          <w:szCs w:val="22"/>
        </w:rPr>
        <w:t>，江苏金秋竹集团有限公司</w:t>
      </w:r>
      <w:r>
        <w:rPr>
          <w:rFonts w:ascii="楷体" w:hAnsi="楷体" w:eastAsia="楷体" w:cs="仿宋"/>
          <w:sz w:val="24"/>
          <w:szCs w:val="2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M2OWRiNDFhYWJhMmI1ODAzNGY4NTU1MDVlODg0M2EifQ=="/>
  </w:docVars>
  <w:rsids>
    <w:rsidRoot w:val="00102CA5"/>
    <w:rsid w:val="000205EA"/>
    <w:rsid w:val="0004438E"/>
    <w:rsid w:val="00053C26"/>
    <w:rsid w:val="0006272E"/>
    <w:rsid w:val="00066704"/>
    <w:rsid w:val="000672B8"/>
    <w:rsid w:val="00072C09"/>
    <w:rsid w:val="00082D2A"/>
    <w:rsid w:val="0008486C"/>
    <w:rsid w:val="000B6BB6"/>
    <w:rsid w:val="000D67F6"/>
    <w:rsid w:val="000E2AE9"/>
    <w:rsid w:val="00102CA5"/>
    <w:rsid w:val="00104BBA"/>
    <w:rsid w:val="00142A3A"/>
    <w:rsid w:val="00146947"/>
    <w:rsid w:val="00153685"/>
    <w:rsid w:val="00187541"/>
    <w:rsid w:val="00196FAF"/>
    <w:rsid w:val="001E76DC"/>
    <w:rsid w:val="00241A1C"/>
    <w:rsid w:val="0024236D"/>
    <w:rsid w:val="00242B9B"/>
    <w:rsid w:val="00253084"/>
    <w:rsid w:val="00255B69"/>
    <w:rsid w:val="0028335A"/>
    <w:rsid w:val="0029238A"/>
    <w:rsid w:val="00293413"/>
    <w:rsid w:val="002A601E"/>
    <w:rsid w:val="002B32AB"/>
    <w:rsid w:val="002B764C"/>
    <w:rsid w:val="002D0B6A"/>
    <w:rsid w:val="002E4BDD"/>
    <w:rsid w:val="002F35F2"/>
    <w:rsid w:val="00303028"/>
    <w:rsid w:val="00321DAB"/>
    <w:rsid w:val="00322224"/>
    <w:rsid w:val="003501FF"/>
    <w:rsid w:val="003669C4"/>
    <w:rsid w:val="003940B3"/>
    <w:rsid w:val="0039591F"/>
    <w:rsid w:val="003A175D"/>
    <w:rsid w:val="003A2137"/>
    <w:rsid w:val="003B1CA5"/>
    <w:rsid w:val="003B41E2"/>
    <w:rsid w:val="003D4A74"/>
    <w:rsid w:val="0040431D"/>
    <w:rsid w:val="0040671F"/>
    <w:rsid w:val="00444271"/>
    <w:rsid w:val="00445D99"/>
    <w:rsid w:val="00452813"/>
    <w:rsid w:val="0045761A"/>
    <w:rsid w:val="00464550"/>
    <w:rsid w:val="00483F8C"/>
    <w:rsid w:val="00484109"/>
    <w:rsid w:val="00487756"/>
    <w:rsid w:val="004B07E1"/>
    <w:rsid w:val="004B4664"/>
    <w:rsid w:val="004B4FF2"/>
    <w:rsid w:val="004D0E26"/>
    <w:rsid w:val="004F4803"/>
    <w:rsid w:val="00507499"/>
    <w:rsid w:val="00514A83"/>
    <w:rsid w:val="0052209C"/>
    <w:rsid w:val="00524648"/>
    <w:rsid w:val="00530A11"/>
    <w:rsid w:val="0054183F"/>
    <w:rsid w:val="00542B20"/>
    <w:rsid w:val="0054472C"/>
    <w:rsid w:val="00592BB5"/>
    <w:rsid w:val="00594BD7"/>
    <w:rsid w:val="005A1393"/>
    <w:rsid w:val="005B56DF"/>
    <w:rsid w:val="005C312F"/>
    <w:rsid w:val="005C793A"/>
    <w:rsid w:val="00624683"/>
    <w:rsid w:val="0063403B"/>
    <w:rsid w:val="00671AC7"/>
    <w:rsid w:val="006742C5"/>
    <w:rsid w:val="00694910"/>
    <w:rsid w:val="006A7D64"/>
    <w:rsid w:val="006C317D"/>
    <w:rsid w:val="006C77DD"/>
    <w:rsid w:val="006E4562"/>
    <w:rsid w:val="00714E74"/>
    <w:rsid w:val="00777F59"/>
    <w:rsid w:val="00781BF5"/>
    <w:rsid w:val="00781E36"/>
    <w:rsid w:val="007842EE"/>
    <w:rsid w:val="00787000"/>
    <w:rsid w:val="007910A6"/>
    <w:rsid w:val="007A5BF5"/>
    <w:rsid w:val="007B0C00"/>
    <w:rsid w:val="007B1224"/>
    <w:rsid w:val="007B70AB"/>
    <w:rsid w:val="007E1ABC"/>
    <w:rsid w:val="007E1E66"/>
    <w:rsid w:val="007F7AB6"/>
    <w:rsid w:val="008344A4"/>
    <w:rsid w:val="00836FDD"/>
    <w:rsid w:val="00854D9D"/>
    <w:rsid w:val="008C0DEB"/>
    <w:rsid w:val="008C0E8F"/>
    <w:rsid w:val="008C1828"/>
    <w:rsid w:val="008C3119"/>
    <w:rsid w:val="008C4385"/>
    <w:rsid w:val="008F5783"/>
    <w:rsid w:val="008F6582"/>
    <w:rsid w:val="008F75E4"/>
    <w:rsid w:val="009003AB"/>
    <w:rsid w:val="00923D0A"/>
    <w:rsid w:val="00927209"/>
    <w:rsid w:val="009406A0"/>
    <w:rsid w:val="00942EA3"/>
    <w:rsid w:val="00957DCA"/>
    <w:rsid w:val="009865AB"/>
    <w:rsid w:val="009D5829"/>
    <w:rsid w:val="009E72CB"/>
    <w:rsid w:val="009F2C5C"/>
    <w:rsid w:val="00A15132"/>
    <w:rsid w:val="00A24738"/>
    <w:rsid w:val="00A34E96"/>
    <w:rsid w:val="00A43F51"/>
    <w:rsid w:val="00A56F23"/>
    <w:rsid w:val="00A61ADD"/>
    <w:rsid w:val="00A764FD"/>
    <w:rsid w:val="00A80592"/>
    <w:rsid w:val="00A86573"/>
    <w:rsid w:val="00A86AA5"/>
    <w:rsid w:val="00A920F9"/>
    <w:rsid w:val="00A94473"/>
    <w:rsid w:val="00AA115E"/>
    <w:rsid w:val="00AA2432"/>
    <w:rsid w:val="00AA3017"/>
    <w:rsid w:val="00AB7675"/>
    <w:rsid w:val="00AD480D"/>
    <w:rsid w:val="00AE24EF"/>
    <w:rsid w:val="00B0077D"/>
    <w:rsid w:val="00B054C7"/>
    <w:rsid w:val="00B10F00"/>
    <w:rsid w:val="00B12FAA"/>
    <w:rsid w:val="00B21A54"/>
    <w:rsid w:val="00B65E98"/>
    <w:rsid w:val="00B67411"/>
    <w:rsid w:val="00B70858"/>
    <w:rsid w:val="00BA72EE"/>
    <w:rsid w:val="00BE6927"/>
    <w:rsid w:val="00BF190F"/>
    <w:rsid w:val="00C10F4A"/>
    <w:rsid w:val="00C3445C"/>
    <w:rsid w:val="00C400A1"/>
    <w:rsid w:val="00C438A9"/>
    <w:rsid w:val="00C731C2"/>
    <w:rsid w:val="00CA7ABF"/>
    <w:rsid w:val="00CC4AF6"/>
    <w:rsid w:val="00CD7E83"/>
    <w:rsid w:val="00CE3C66"/>
    <w:rsid w:val="00CE405D"/>
    <w:rsid w:val="00CF75BF"/>
    <w:rsid w:val="00D360CC"/>
    <w:rsid w:val="00D446E3"/>
    <w:rsid w:val="00D641C5"/>
    <w:rsid w:val="00D66CFF"/>
    <w:rsid w:val="00D7371B"/>
    <w:rsid w:val="00DA2194"/>
    <w:rsid w:val="00DB5399"/>
    <w:rsid w:val="00DB6E13"/>
    <w:rsid w:val="00DC28FA"/>
    <w:rsid w:val="00DC3AF6"/>
    <w:rsid w:val="00E310B1"/>
    <w:rsid w:val="00E401ED"/>
    <w:rsid w:val="00E444F0"/>
    <w:rsid w:val="00E44681"/>
    <w:rsid w:val="00E47149"/>
    <w:rsid w:val="00E47565"/>
    <w:rsid w:val="00E746CE"/>
    <w:rsid w:val="00E8517D"/>
    <w:rsid w:val="00E90A09"/>
    <w:rsid w:val="00E97DAD"/>
    <w:rsid w:val="00EB1791"/>
    <w:rsid w:val="00EB4338"/>
    <w:rsid w:val="00EC31B2"/>
    <w:rsid w:val="00EC4DC9"/>
    <w:rsid w:val="00ED3109"/>
    <w:rsid w:val="00F06A05"/>
    <w:rsid w:val="00F16668"/>
    <w:rsid w:val="00F17558"/>
    <w:rsid w:val="00F3563E"/>
    <w:rsid w:val="00F44FAE"/>
    <w:rsid w:val="00F45982"/>
    <w:rsid w:val="00F77E1B"/>
    <w:rsid w:val="00F9365A"/>
    <w:rsid w:val="00F939FD"/>
    <w:rsid w:val="00FA4F7D"/>
    <w:rsid w:val="00FA7532"/>
    <w:rsid w:val="00FB2AE8"/>
    <w:rsid w:val="00FC5A9F"/>
    <w:rsid w:val="00FD6F4E"/>
    <w:rsid w:val="00FF3360"/>
    <w:rsid w:val="00FF73DD"/>
    <w:rsid w:val="0C3F697A"/>
    <w:rsid w:val="0F934042"/>
    <w:rsid w:val="11BF1556"/>
    <w:rsid w:val="13A50D99"/>
    <w:rsid w:val="13FB3491"/>
    <w:rsid w:val="2A953ED6"/>
    <w:rsid w:val="2DD770F5"/>
    <w:rsid w:val="34043372"/>
    <w:rsid w:val="4C3E58F3"/>
    <w:rsid w:val="63CA62E0"/>
    <w:rsid w:val="6A937F0D"/>
    <w:rsid w:val="77BC7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link w:val="13"/>
    <w:qFormat/>
    <w:uiPriority w:val="0"/>
    <w:pPr>
      <w:widowControl/>
      <w:spacing w:before="100" w:beforeAutospacing="1" w:after="100" w:afterAutospacing="1"/>
      <w:jc w:val="left"/>
      <w:outlineLvl w:val="0"/>
    </w:pPr>
    <w:rPr>
      <w:rFonts w:cs="Times New Roman"/>
      <w:b/>
      <w:bCs/>
      <w:kern w:val="44"/>
      <w:sz w:val="44"/>
      <w:szCs w:val="44"/>
      <w:lang w:val="zh-CN"/>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unhideWhenUsed/>
    <w:qFormat/>
    <w:uiPriority w:val="0"/>
    <w:pPr>
      <w:jc w:val="left"/>
    </w:pPr>
    <w:rPr>
      <w:szCs w:val="22"/>
    </w:rPr>
  </w:style>
  <w:style w:type="paragraph" w:styleId="4">
    <w:name w:val="Balloon Text"/>
    <w:basedOn w:val="1"/>
    <w:link w:val="23"/>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4"/>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link w:val="22"/>
    <w:semiHidden/>
    <w:unhideWhenUsed/>
    <w:qFormat/>
    <w:uiPriority w:val="99"/>
    <w:rPr>
      <w:b/>
      <w:bCs/>
      <w:szCs w:val="24"/>
    </w:rPr>
  </w:style>
  <w:style w:type="character" w:styleId="12">
    <w:name w:val="annotation reference"/>
    <w:basedOn w:val="11"/>
    <w:semiHidden/>
    <w:unhideWhenUsed/>
    <w:qFormat/>
    <w:uiPriority w:val="99"/>
    <w:rPr>
      <w:sz w:val="21"/>
      <w:szCs w:val="21"/>
    </w:rPr>
  </w:style>
  <w:style w:type="character" w:customStyle="1" w:styleId="13">
    <w:name w:val="标题 1 Char"/>
    <w:basedOn w:val="11"/>
    <w:link w:val="2"/>
    <w:qFormat/>
    <w:uiPriority w:val="0"/>
    <w:rPr>
      <w:rFonts w:ascii="Calibri" w:hAnsi="Calibri" w:eastAsia="宋体" w:cs="Times New Roman"/>
      <w:b/>
      <w:bCs/>
      <w:kern w:val="44"/>
      <w:sz w:val="44"/>
      <w:szCs w:val="44"/>
      <w:lang w:val="zh-CN" w:eastAsia="zh-CN"/>
    </w:rPr>
  </w:style>
  <w:style w:type="character" w:customStyle="1" w:styleId="14">
    <w:name w:val="副标题 Char"/>
    <w:link w:val="7"/>
    <w:qFormat/>
    <w:uiPriority w:val="0"/>
    <w:rPr>
      <w:rFonts w:ascii="Cambria" w:hAnsi="Cambria"/>
      <w:b/>
      <w:bCs/>
      <w:kern w:val="28"/>
      <w:sz w:val="32"/>
      <w:szCs w:val="32"/>
    </w:rPr>
  </w:style>
  <w:style w:type="character" w:customStyle="1" w:styleId="15">
    <w:name w:val="副标题 Char1"/>
    <w:basedOn w:val="11"/>
    <w:qFormat/>
    <w:uiPriority w:val="11"/>
    <w:rPr>
      <w:rFonts w:eastAsia="宋体" w:asciiTheme="majorHAnsi" w:hAnsiTheme="majorHAnsi" w:cstheme="majorBidi"/>
      <w:b/>
      <w:bCs/>
      <w:kern w:val="28"/>
      <w:sz w:val="32"/>
      <w:szCs w:val="32"/>
    </w:rPr>
  </w:style>
  <w:style w:type="paragraph" w:styleId="16">
    <w:name w:val="List Paragraph"/>
    <w:basedOn w:val="1"/>
    <w:qFormat/>
    <w:uiPriority w:val="0"/>
    <w:pPr>
      <w:ind w:firstLine="420" w:firstLineChars="200"/>
    </w:pPr>
  </w:style>
  <w:style w:type="paragraph" w:customStyle="1" w:styleId="17">
    <w:name w:val="表内容行距"/>
    <w:basedOn w:val="1"/>
    <w:qFormat/>
    <w:uiPriority w:val="0"/>
    <w:pPr>
      <w:spacing w:line="320" w:lineRule="exact"/>
      <w:ind w:firstLine="100" w:firstLineChars="100"/>
    </w:pPr>
    <w:rPr>
      <w:rFonts w:eastAsia="方正书宋简体"/>
      <w:szCs w:val="21"/>
    </w:rPr>
  </w:style>
  <w:style w:type="character" w:customStyle="1" w:styleId="18">
    <w:name w:val="页眉 Char"/>
    <w:basedOn w:val="11"/>
    <w:link w:val="6"/>
    <w:qFormat/>
    <w:uiPriority w:val="99"/>
    <w:rPr>
      <w:rFonts w:ascii="Calibri" w:hAnsi="Calibri" w:eastAsia="宋体" w:cs="黑体"/>
      <w:sz w:val="18"/>
      <w:szCs w:val="18"/>
    </w:rPr>
  </w:style>
  <w:style w:type="character" w:customStyle="1" w:styleId="19">
    <w:name w:val="页脚 Char"/>
    <w:basedOn w:val="11"/>
    <w:link w:val="5"/>
    <w:qFormat/>
    <w:uiPriority w:val="99"/>
    <w:rPr>
      <w:rFonts w:ascii="Calibri" w:hAnsi="Calibri" w:eastAsia="宋体" w:cs="黑体"/>
      <w:sz w:val="18"/>
      <w:szCs w:val="18"/>
    </w:rPr>
  </w:style>
  <w:style w:type="character" w:customStyle="1" w:styleId="20">
    <w:name w:val="批注文字 Char"/>
    <w:basedOn w:val="11"/>
    <w:qFormat/>
    <w:uiPriority w:val="0"/>
    <w:rPr>
      <w:rFonts w:ascii="Calibri" w:hAnsi="Calibri" w:eastAsia="宋体" w:cs="黑体"/>
      <w:szCs w:val="24"/>
    </w:rPr>
  </w:style>
  <w:style w:type="character" w:customStyle="1" w:styleId="21">
    <w:name w:val="批注文字 Char1"/>
    <w:basedOn w:val="11"/>
    <w:link w:val="3"/>
    <w:qFormat/>
    <w:uiPriority w:val="0"/>
    <w:rPr>
      <w:rFonts w:ascii="Calibri" w:hAnsi="Calibri" w:eastAsia="宋体" w:cs="黑体"/>
    </w:rPr>
  </w:style>
  <w:style w:type="character" w:customStyle="1" w:styleId="22">
    <w:name w:val="批注主题 Char"/>
    <w:basedOn w:val="21"/>
    <w:link w:val="9"/>
    <w:semiHidden/>
    <w:qFormat/>
    <w:uiPriority w:val="99"/>
    <w:rPr>
      <w:rFonts w:ascii="Calibri" w:hAnsi="Calibri" w:eastAsia="宋体" w:cs="黑体"/>
      <w:b/>
      <w:bCs/>
      <w:szCs w:val="24"/>
    </w:rPr>
  </w:style>
  <w:style w:type="character" w:customStyle="1" w:styleId="23">
    <w:name w:val="批注框文本 Char"/>
    <w:basedOn w:val="11"/>
    <w:link w:val="4"/>
    <w:semiHidden/>
    <w:qFormat/>
    <w:uiPriority w:val="99"/>
    <w:rPr>
      <w:rFonts w:ascii="Calibri" w:hAnsi="Calibri" w:eastAsia="宋体" w:cs="黑体"/>
      <w:sz w:val="18"/>
      <w:szCs w:val="18"/>
    </w:rPr>
  </w:style>
  <w:style w:type="paragraph" w:customStyle="1" w:styleId="24">
    <w:name w:val="无间隔1"/>
    <w:qFormat/>
    <w:uiPriority w:val="99"/>
    <w:pPr>
      <w:adjustRightInd w:val="0"/>
      <w:snapToGrid w:val="0"/>
    </w:pPr>
    <w:rPr>
      <w:rFonts w:ascii="Tahoma" w:hAnsi="Tahoma" w:eastAsia="宋体" w:cs="Tahoma"/>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4003</Words>
  <Characters>4110</Characters>
  <Lines>30</Lines>
  <Paragraphs>8</Paragraphs>
  <TotalTime>6</TotalTime>
  <ScaleCrop>false</ScaleCrop>
  <LinksUpToDate>false</LinksUpToDate>
  <CharactersWithSpaces>4110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2021-03-06T05:22:00Z</dcterms:created>
  <dc:creator>AutoBVT</dc:creator>
  <cp:lastModifiedBy>片尾曲</cp:lastModifiedBy>
  <dcterms:modified xsi:type="dcterms:W3CDTF">2023-06-05T12:02:46Z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5633C8B3070B48B3A6BE3DC7618B0101</vt:lpwstr>
  </property>
</Properties>
</file>